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3D" w:rsidRPr="00625F8A" w:rsidRDefault="002A79A8" w:rsidP="002A79A8">
      <w:pPr>
        <w:jc w:val="center"/>
        <w:rPr>
          <w:b/>
          <w:sz w:val="24"/>
          <w:szCs w:val="24"/>
        </w:rPr>
      </w:pPr>
      <w:r w:rsidRPr="00625F8A">
        <w:rPr>
          <w:b/>
          <w:sz w:val="24"/>
          <w:szCs w:val="24"/>
        </w:rPr>
        <w:t>Chittenden County Homeless Alliance</w:t>
      </w:r>
    </w:p>
    <w:p w:rsidR="002A79A8" w:rsidRPr="00625F8A" w:rsidRDefault="002A79A8" w:rsidP="002A79A8">
      <w:pPr>
        <w:jc w:val="center"/>
        <w:rPr>
          <w:b/>
          <w:sz w:val="24"/>
          <w:szCs w:val="24"/>
        </w:rPr>
      </w:pPr>
      <w:r w:rsidRPr="00625F8A">
        <w:rPr>
          <w:b/>
          <w:sz w:val="24"/>
          <w:szCs w:val="24"/>
        </w:rPr>
        <w:t>Continuum of Care</w:t>
      </w:r>
    </w:p>
    <w:p w:rsidR="002A79A8" w:rsidRPr="00625F8A" w:rsidRDefault="002A79A8" w:rsidP="002A79A8">
      <w:pPr>
        <w:jc w:val="center"/>
        <w:rPr>
          <w:b/>
          <w:sz w:val="24"/>
          <w:szCs w:val="24"/>
        </w:rPr>
      </w:pPr>
      <w:r w:rsidRPr="00625F8A">
        <w:rPr>
          <w:b/>
          <w:sz w:val="24"/>
          <w:szCs w:val="24"/>
        </w:rPr>
        <w:t>Monitoring Policy and Procedures</w:t>
      </w:r>
    </w:p>
    <w:p w:rsidR="002A79A8" w:rsidRPr="00625F8A" w:rsidRDefault="002A79A8" w:rsidP="002A79A8">
      <w:pPr>
        <w:rPr>
          <w:sz w:val="24"/>
          <w:szCs w:val="24"/>
        </w:rPr>
      </w:pPr>
      <w:r w:rsidRPr="00625F8A">
        <w:rPr>
          <w:b/>
          <w:sz w:val="24"/>
          <w:szCs w:val="24"/>
          <w:u w:val="single"/>
        </w:rPr>
        <w:t xml:space="preserve">Purpose: </w:t>
      </w:r>
      <w:r w:rsidRPr="00625F8A">
        <w:rPr>
          <w:rFonts w:cs="Times New Roman"/>
          <w:sz w:val="24"/>
          <w:szCs w:val="24"/>
        </w:rPr>
        <w:t xml:space="preserve"> </w:t>
      </w:r>
      <w:r w:rsidR="00B53FFA" w:rsidRPr="00625F8A">
        <w:rPr>
          <w:sz w:val="24"/>
          <w:szCs w:val="24"/>
        </w:rPr>
        <w:t xml:space="preserve">The Chittenden County Homeless Alliance (CCHA) Governance Charter </w:t>
      </w:r>
      <w:r w:rsidR="00541593" w:rsidRPr="00625F8A">
        <w:rPr>
          <w:sz w:val="24"/>
          <w:szCs w:val="24"/>
        </w:rPr>
        <w:t>references the establishment of</w:t>
      </w:r>
      <w:r w:rsidR="00B53FFA" w:rsidRPr="00625F8A">
        <w:rPr>
          <w:sz w:val="24"/>
          <w:szCs w:val="24"/>
        </w:rPr>
        <w:t xml:space="preserve"> system and project-level performance targets appropriate for population and program type, monitoring grant per</w:t>
      </w:r>
      <w:r w:rsidR="00541593" w:rsidRPr="00625F8A">
        <w:rPr>
          <w:sz w:val="24"/>
          <w:szCs w:val="24"/>
        </w:rPr>
        <w:t>formance and performance improvement. This responsibility falls under the purview of the Alliance as a whole, the Steering Committee, as well as the Applica</w:t>
      </w:r>
      <w:r w:rsidR="00B07975" w:rsidRPr="00625F8A">
        <w:rPr>
          <w:sz w:val="24"/>
          <w:szCs w:val="24"/>
        </w:rPr>
        <w:t xml:space="preserve">tion </w:t>
      </w:r>
      <w:r w:rsidR="00541593" w:rsidRPr="00625F8A">
        <w:rPr>
          <w:sz w:val="24"/>
          <w:szCs w:val="24"/>
        </w:rPr>
        <w:t xml:space="preserve">Ranking Committee and the Collaborative Applicant.  </w:t>
      </w:r>
      <w:r w:rsidR="00B53FFA" w:rsidRPr="00625F8A">
        <w:rPr>
          <w:sz w:val="24"/>
          <w:szCs w:val="24"/>
        </w:rPr>
        <w:t xml:space="preserve">This policy will establish who will be responsible for monitoring, how often monitoring will occur, what data sources will be used to report performance, how outcomes will be measured, and resources provided to </w:t>
      </w:r>
      <w:proofErr w:type="spellStart"/>
      <w:r w:rsidR="00F763E6">
        <w:rPr>
          <w:color w:val="7030A0"/>
          <w:sz w:val="24"/>
          <w:szCs w:val="24"/>
        </w:rPr>
        <w:t>under</w:t>
      </w:r>
      <w:r w:rsidR="00B53FFA" w:rsidRPr="00625F8A">
        <w:rPr>
          <w:sz w:val="24"/>
          <w:szCs w:val="24"/>
        </w:rPr>
        <w:t xml:space="preserve"> performing</w:t>
      </w:r>
      <w:proofErr w:type="spellEnd"/>
      <w:r w:rsidR="00B53FFA" w:rsidRPr="00625F8A">
        <w:rPr>
          <w:sz w:val="24"/>
          <w:szCs w:val="24"/>
        </w:rPr>
        <w:t xml:space="preserve"> projects</w:t>
      </w:r>
      <w:r w:rsidR="00541593" w:rsidRPr="00625F8A">
        <w:rPr>
          <w:sz w:val="24"/>
          <w:szCs w:val="24"/>
        </w:rPr>
        <w:t>.</w:t>
      </w:r>
      <w:r w:rsidR="00F763E6">
        <w:rPr>
          <w:sz w:val="24"/>
          <w:szCs w:val="24"/>
        </w:rPr>
        <w:t xml:space="preserve"> This policy is designed</w:t>
      </w:r>
      <w:r w:rsidR="00541593" w:rsidRPr="00625F8A">
        <w:rPr>
          <w:sz w:val="24"/>
          <w:szCs w:val="24"/>
        </w:rPr>
        <w:t xml:space="preserve"> </w:t>
      </w:r>
      <w:r w:rsidR="00F763E6">
        <w:rPr>
          <w:rFonts w:cs="Times New Roman"/>
          <w:sz w:val="24"/>
          <w:szCs w:val="24"/>
          <w:highlight w:val="yellow"/>
        </w:rPr>
        <w:t>t</w:t>
      </w:r>
      <w:r w:rsidRPr="00B06343">
        <w:rPr>
          <w:rFonts w:cs="Times New Roman"/>
          <w:sz w:val="24"/>
          <w:szCs w:val="24"/>
          <w:highlight w:val="yellow"/>
        </w:rPr>
        <w:t>o meet the assigned regulatory and fiduciary annual monito</w:t>
      </w:r>
      <w:r w:rsidR="00F763E6">
        <w:rPr>
          <w:rFonts w:cs="Times New Roman"/>
          <w:sz w:val="24"/>
          <w:szCs w:val="24"/>
          <w:highlight w:val="yellow"/>
        </w:rPr>
        <w:t xml:space="preserve">ring and evaluation process; it will also </w:t>
      </w:r>
      <w:r w:rsidR="005E1D7A" w:rsidRPr="00B06343">
        <w:rPr>
          <w:rFonts w:cs="Times New Roman"/>
          <w:sz w:val="24"/>
          <w:szCs w:val="24"/>
          <w:highlight w:val="yellow"/>
        </w:rPr>
        <w:t>e</w:t>
      </w:r>
      <w:r w:rsidR="00F763E6">
        <w:rPr>
          <w:rFonts w:cs="Times New Roman"/>
          <w:sz w:val="24"/>
          <w:szCs w:val="24"/>
          <w:highlight w:val="yellow"/>
        </w:rPr>
        <w:t>nsure</w:t>
      </w:r>
      <w:r w:rsidRPr="00B06343">
        <w:rPr>
          <w:rFonts w:cs="Times New Roman"/>
          <w:sz w:val="24"/>
          <w:szCs w:val="24"/>
          <w:highlight w:val="yellow"/>
        </w:rPr>
        <w:t xml:space="preserve"> the Alliance has accurate and timely information about the efficiency, effectiveness and appropriateness of programs, organizations, services and processes that play key roles in making homelessness in Chittenden County rare and brief.</w:t>
      </w:r>
      <w:r w:rsidRPr="00625F8A">
        <w:rPr>
          <w:rFonts w:cs="Times New Roman"/>
          <w:sz w:val="24"/>
          <w:szCs w:val="24"/>
        </w:rPr>
        <w:t xml:space="preserve">  Information provided through this process must adequately support the role of the Alliance in the Collaborative Application process, meeting assigned regulatory and fiduciary responsibilities, reviewing, recommending or applying for grants, and/or aligning resources that further the mission and strategic priorities of the Alliance.</w:t>
      </w:r>
    </w:p>
    <w:p w:rsidR="002A79A8" w:rsidRPr="00625F8A" w:rsidRDefault="002A79A8" w:rsidP="002A79A8">
      <w:pPr>
        <w:rPr>
          <w:b/>
          <w:sz w:val="24"/>
          <w:szCs w:val="24"/>
          <w:u w:val="single"/>
        </w:rPr>
      </w:pPr>
    </w:p>
    <w:p w:rsidR="002A79A8" w:rsidRPr="00625F8A" w:rsidRDefault="002A79A8" w:rsidP="002A79A8">
      <w:pPr>
        <w:rPr>
          <w:rFonts w:cs="Times New Roman"/>
          <w:noProof/>
          <w:sz w:val="24"/>
          <w:szCs w:val="24"/>
        </w:rPr>
      </w:pPr>
      <w:r w:rsidRPr="00625F8A">
        <w:rPr>
          <w:b/>
          <w:sz w:val="24"/>
          <w:szCs w:val="24"/>
          <w:u w:val="single"/>
        </w:rPr>
        <w:t>Policy:</w:t>
      </w:r>
      <w:r w:rsidR="00541593" w:rsidRPr="00625F8A">
        <w:rPr>
          <w:b/>
          <w:sz w:val="24"/>
          <w:szCs w:val="24"/>
          <w:u w:val="single"/>
        </w:rPr>
        <w:t xml:space="preserve"> </w:t>
      </w:r>
      <w:r w:rsidR="005E1D7A" w:rsidRPr="00625F8A">
        <w:rPr>
          <w:rFonts w:cs="Times New Roman"/>
          <w:noProof/>
          <w:sz w:val="24"/>
          <w:szCs w:val="24"/>
        </w:rPr>
        <w:t xml:space="preserve"> </w:t>
      </w:r>
      <w:r w:rsidR="008F1FC9" w:rsidRPr="00625F8A">
        <w:rPr>
          <w:sz w:val="24"/>
          <w:szCs w:val="24"/>
        </w:rPr>
        <w:t xml:space="preserve">The Federal Department of Housing and Urban Development (HUD) Continuum of Care Program Interim Rule 24 CFR Part 578 requires that the local </w:t>
      </w:r>
      <w:proofErr w:type="spellStart"/>
      <w:r w:rsidR="008F1FC9" w:rsidRPr="00625F8A">
        <w:rPr>
          <w:sz w:val="24"/>
          <w:szCs w:val="24"/>
        </w:rPr>
        <w:t>CoC</w:t>
      </w:r>
      <w:proofErr w:type="spellEnd"/>
      <w:r w:rsidR="008F1FC9" w:rsidRPr="00625F8A">
        <w:rPr>
          <w:sz w:val="24"/>
          <w:szCs w:val="24"/>
        </w:rPr>
        <w:t xml:space="preserve"> consult with recipients and subrecipients to establish performance targets appropriate for population and program type, monitor recipient and subrecipient performance,  evaluate outcomes, and take action against poor performance. </w:t>
      </w:r>
      <w:r w:rsidR="005E1D7A" w:rsidRPr="00625F8A">
        <w:rPr>
          <w:rFonts w:cs="Times New Roman"/>
          <w:noProof/>
          <w:sz w:val="24"/>
          <w:szCs w:val="24"/>
        </w:rPr>
        <w:t xml:space="preserve">This policy was developed to ensure a robust  procedure for on-going evaluation and monitoring of programs the Alliance recommends for funding. It is the responsibility of the Alliance to review HUD-funded </w:t>
      </w:r>
      <w:r w:rsidR="000548B3" w:rsidRPr="00625F8A">
        <w:rPr>
          <w:rFonts w:cs="Times New Roman"/>
          <w:noProof/>
          <w:sz w:val="24"/>
          <w:szCs w:val="24"/>
        </w:rPr>
        <w:t xml:space="preserve">(CoC and ESG) </w:t>
      </w:r>
      <w:r w:rsidR="005E1D7A" w:rsidRPr="00625F8A">
        <w:rPr>
          <w:rFonts w:cs="Times New Roman"/>
          <w:noProof/>
          <w:sz w:val="24"/>
          <w:szCs w:val="24"/>
        </w:rPr>
        <w:t xml:space="preserve">programs for efficiency and effectiveness, as well as compliance with applicable laws and regulations. The policy also serves to assist grantees in improving their </w:t>
      </w:r>
      <w:r w:rsidR="0098351A" w:rsidRPr="00625F8A">
        <w:rPr>
          <w:rFonts w:cs="Times New Roman"/>
          <w:noProof/>
          <w:sz w:val="24"/>
          <w:szCs w:val="24"/>
        </w:rPr>
        <w:t>performance, increasing their organizational capacity or enhancing their management or technical skills.</w:t>
      </w:r>
      <w:r w:rsidR="000548B3" w:rsidRPr="00625F8A">
        <w:rPr>
          <w:rFonts w:cs="Times New Roman"/>
          <w:noProof/>
          <w:sz w:val="24"/>
          <w:szCs w:val="24"/>
        </w:rPr>
        <w:t xml:space="preserve"> Lastly, this policy will assist the Alliance in providing recommendations and information to grantor agencies to include but not limited to: US Department of Housing and Urban Development (HUD), State of Vermont Office of Economic Opportunities (OEO), and the University of Vermont Medical Center.</w:t>
      </w:r>
    </w:p>
    <w:p w:rsidR="002A79A8" w:rsidRPr="00625F8A" w:rsidRDefault="002A79A8" w:rsidP="002A79A8">
      <w:pPr>
        <w:rPr>
          <w:sz w:val="24"/>
          <w:szCs w:val="24"/>
        </w:rPr>
      </w:pPr>
      <w:r w:rsidRPr="00625F8A">
        <w:rPr>
          <w:b/>
          <w:sz w:val="24"/>
          <w:szCs w:val="24"/>
          <w:u w:val="single"/>
        </w:rPr>
        <w:t>Procedures:</w:t>
      </w:r>
      <w:r w:rsidR="00997152" w:rsidRPr="00625F8A">
        <w:rPr>
          <w:b/>
          <w:sz w:val="24"/>
          <w:szCs w:val="24"/>
          <w:u w:val="single"/>
        </w:rPr>
        <w:t xml:space="preserve"> </w:t>
      </w:r>
      <w:r w:rsidR="00997152" w:rsidRPr="00625F8A">
        <w:rPr>
          <w:sz w:val="24"/>
          <w:szCs w:val="24"/>
        </w:rPr>
        <w:t xml:space="preserve"> Monitoring for the Alliance will include project performance monitoring</w:t>
      </w:r>
      <w:r w:rsidR="00E93D68" w:rsidRPr="00625F8A">
        <w:rPr>
          <w:sz w:val="24"/>
          <w:szCs w:val="24"/>
        </w:rPr>
        <w:t xml:space="preserve"> (both onsite and desktop)</w:t>
      </w:r>
      <w:r w:rsidR="00997152" w:rsidRPr="00625F8A">
        <w:rPr>
          <w:sz w:val="24"/>
          <w:szCs w:val="24"/>
        </w:rPr>
        <w:t>, system level performance monitoring</w:t>
      </w:r>
      <w:r w:rsidR="00E93D68" w:rsidRPr="00625F8A">
        <w:rPr>
          <w:sz w:val="24"/>
          <w:szCs w:val="24"/>
        </w:rPr>
        <w:t xml:space="preserve"> and coordinated assessment monitoring</w:t>
      </w:r>
      <w:r w:rsidR="00997152" w:rsidRPr="00625F8A">
        <w:rPr>
          <w:sz w:val="24"/>
          <w:szCs w:val="24"/>
        </w:rPr>
        <w:t>.</w:t>
      </w:r>
    </w:p>
    <w:p w:rsidR="000E2D0C" w:rsidRPr="00625F8A" w:rsidRDefault="00A549F7" w:rsidP="000E2D0C">
      <w:pPr>
        <w:widowControl w:val="0"/>
        <w:overflowPunct w:val="0"/>
        <w:autoSpaceDE w:val="0"/>
        <w:autoSpaceDN w:val="0"/>
        <w:adjustRightInd w:val="0"/>
        <w:spacing w:after="0" w:line="240" w:lineRule="auto"/>
        <w:rPr>
          <w:rFonts w:eastAsia="Times New Roman"/>
          <w:sz w:val="24"/>
          <w:szCs w:val="24"/>
        </w:rPr>
      </w:pPr>
      <w:r w:rsidRPr="00625F8A">
        <w:rPr>
          <w:b/>
          <w:sz w:val="24"/>
          <w:szCs w:val="24"/>
        </w:rPr>
        <w:t>Risk Assessment:</w:t>
      </w:r>
      <w:r w:rsidR="000E2D0C" w:rsidRPr="00625F8A">
        <w:rPr>
          <w:b/>
          <w:sz w:val="24"/>
          <w:szCs w:val="24"/>
        </w:rPr>
        <w:t xml:space="preserve"> </w:t>
      </w:r>
      <w:r w:rsidR="000E2D0C" w:rsidRPr="00625F8A">
        <w:rPr>
          <w:rFonts w:eastAsia="Times New Roman"/>
          <w:sz w:val="24"/>
          <w:szCs w:val="24"/>
        </w:rPr>
        <w:t xml:space="preserve">The Alliance will use the criteria listed below to determine potential areas and levels of risk.  If a grantee is determined to have high risk levels in one area or indicate </w:t>
      </w:r>
      <w:r w:rsidR="000E2D0C" w:rsidRPr="00625F8A">
        <w:rPr>
          <w:rFonts w:eastAsia="Times New Roman"/>
          <w:sz w:val="24"/>
          <w:szCs w:val="24"/>
        </w:rPr>
        <w:lastRenderedPageBreak/>
        <w:t>higher levels of risk across multiple areas, an onsite visit will be required.  While certain activities or programs may be more subject to monitoring than others, standard criteria will cause every organization to be monitored at some point in a three year cycle.</w:t>
      </w:r>
    </w:p>
    <w:p w:rsidR="000E2D0C" w:rsidRPr="00625F8A" w:rsidRDefault="000E2D0C" w:rsidP="000E2D0C">
      <w:pPr>
        <w:widowControl w:val="0"/>
        <w:overflowPunct w:val="0"/>
        <w:autoSpaceDE w:val="0"/>
        <w:autoSpaceDN w:val="0"/>
        <w:adjustRightInd w:val="0"/>
        <w:spacing w:after="0" w:line="240" w:lineRule="auto"/>
        <w:rPr>
          <w:rFonts w:eastAsia="Times New Roman"/>
          <w:sz w:val="24"/>
          <w:szCs w:val="24"/>
        </w:rPr>
      </w:pPr>
    </w:p>
    <w:p w:rsidR="000E2D0C" w:rsidRPr="00625F8A" w:rsidRDefault="000E2D0C" w:rsidP="000E2D0C">
      <w:pPr>
        <w:rPr>
          <w:rFonts w:cs="Times New Roman"/>
          <w:b/>
          <w:sz w:val="24"/>
          <w:szCs w:val="24"/>
        </w:rPr>
      </w:pPr>
      <w:r w:rsidRPr="00625F8A">
        <w:rPr>
          <w:rFonts w:cs="Times New Roman"/>
          <w:b/>
          <w:sz w:val="24"/>
          <w:szCs w:val="24"/>
        </w:rPr>
        <w:t>Standard criteria for determining risk:</w:t>
      </w:r>
    </w:p>
    <w:p w:rsidR="000E2D0C" w:rsidRPr="00625F8A" w:rsidRDefault="000E2D0C" w:rsidP="000E2D0C">
      <w:pPr>
        <w:rPr>
          <w:rFonts w:cs="Times New Roman"/>
          <w:i/>
          <w:sz w:val="24"/>
          <w:szCs w:val="24"/>
        </w:rPr>
      </w:pPr>
      <w:r w:rsidRPr="00625F8A">
        <w:rPr>
          <w:rFonts w:cs="Times New Roman"/>
          <w:i/>
          <w:sz w:val="24"/>
          <w:szCs w:val="24"/>
        </w:rPr>
        <w:t>1. Desktop monitoring</w:t>
      </w:r>
    </w:p>
    <w:p w:rsidR="000E2D0C" w:rsidRPr="00625F8A" w:rsidRDefault="00625F8A"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Collaborative applicant </w:t>
      </w:r>
      <w:r w:rsidR="000E2D0C" w:rsidRPr="00625F8A">
        <w:rPr>
          <w:rFonts w:eastAsia="Times New Roman" w:cs="Times New Roman"/>
          <w:sz w:val="24"/>
          <w:szCs w:val="24"/>
        </w:rPr>
        <w:t>conducts an annual desktop monitoring of each agency’s progress in meeting performance and expenditure goals.  This review will help inform areas of risk for further review and will generally include both programmatic and financial reviews which include, but are not limited to:</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 </w:t>
      </w:r>
    </w:p>
    <w:p w:rsidR="000E2D0C" w:rsidRPr="00625F8A" w:rsidRDefault="000E2D0C" w:rsidP="000E2D0C">
      <w:pPr>
        <w:widowControl w:val="0"/>
        <w:numPr>
          <w:ilvl w:val="0"/>
          <w:numId w:val="8"/>
        </w:numPr>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The cumulative beneficiary accomplishments compared to annual program goals.</w:t>
      </w:r>
    </w:p>
    <w:p w:rsidR="000E2D0C" w:rsidRPr="00625F8A" w:rsidRDefault="000E2D0C" w:rsidP="000E2D0C">
      <w:pPr>
        <w:widowControl w:val="0"/>
        <w:numPr>
          <w:ilvl w:val="0"/>
          <w:numId w:val="8"/>
        </w:numPr>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Appropriate policies, procedures and memoranda for agreements</w:t>
      </w:r>
    </w:p>
    <w:p w:rsidR="000E2D0C" w:rsidRPr="00625F8A" w:rsidRDefault="000E2D0C" w:rsidP="00AE32BB">
      <w:pPr>
        <w:widowControl w:val="0"/>
        <w:overflowPunct w:val="0"/>
        <w:autoSpaceDE w:val="0"/>
        <w:autoSpaceDN w:val="0"/>
        <w:adjustRightInd w:val="0"/>
        <w:spacing w:after="0" w:line="240" w:lineRule="auto"/>
        <w:ind w:left="720"/>
        <w:rPr>
          <w:rFonts w:eastAsia="Times New Roman" w:cs="Times New Roman"/>
          <w:sz w:val="24"/>
          <w:szCs w:val="24"/>
        </w:rPr>
      </w:pP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The financial review includes: </w:t>
      </w:r>
    </w:p>
    <w:p w:rsidR="000E2D0C" w:rsidRPr="00625F8A" w:rsidRDefault="000E2D0C" w:rsidP="000E2D0C">
      <w:pPr>
        <w:widowControl w:val="0"/>
        <w:numPr>
          <w:ilvl w:val="0"/>
          <w:numId w:val="9"/>
        </w:numPr>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Cumulative expenditure rate to budget. </w:t>
      </w:r>
    </w:p>
    <w:p w:rsidR="000E2D0C" w:rsidRPr="00625F8A" w:rsidRDefault="000E2D0C" w:rsidP="000E2D0C">
      <w:pPr>
        <w:widowControl w:val="0"/>
        <w:numPr>
          <w:ilvl w:val="0"/>
          <w:numId w:val="9"/>
        </w:numPr>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Timely drawdowns  </w:t>
      </w:r>
    </w:p>
    <w:p w:rsidR="000E2D0C" w:rsidRPr="00625F8A" w:rsidRDefault="000E2D0C" w:rsidP="000E2D0C">
      <w:pPr>
        <w:widowControl w:val="0"/>
        <w:numPr>
          <w:ilvl w:val="0"/>
          <w:numId w:val="9"/>
        </w:numPr>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Adequacy and clarity of supporting documentation for line item expenditures.   </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p>
    <w:p w:rsidR="000E2D0C" w:rsidRPr="00625F8A" w:rsidRDefault="00AE32BB" w:rsidP="000E2D0C">
      <w:pPr>
        <w:rPr>
          <w:rFonts w:cs="Times New Roman"/>
          <w:i/>
          <w:sz w:val="24"/>
          <w:szCs w:val="24"/>
        </w:rPr>
      </w:pPr>
      <w:r w:rsidRPr="00625F8A">
        <w:rPr>
          <w:rFonts w:cs="Times New Roman"/>
          <w:i/>
          <w:sz w:val="24"/>
          <w:szCs w:val="24"/>
        </w:rPr>
        <w:t>2. New Grantees</w:t>
      </w:r>
      <w:r w:rsidR="000E2D0C" w:rsidRPr="00625F8A">
        <w:rPr>
          <w:rFonts w:cs="Times New Roman"/>
          <w:i/>
          <w:sz w:val="24"/>
          <w:szCs w:val="24"/>
        </w:rPr>
        <w:t xml:space="preserve"> or Organizational Change </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First time grantees or grantees experiencing organizational change will be selected when staff turnover results in a new Program Manager, Financial Officer or Executive Director.  Organizational change may also include merging with another non</w:t>
      </w:r>
      <w:r w:rsidRPr="00625F8A">
        <w:rPr>
          <w:rFonts w:eastAsia="Times New Roman" w:cs="Cambria Math"/>
          <w:sz w:val="24"/>
          <w:szCs w:val="24"/>
        </w:rPr>
        <w:t>‐</w:t>
      </w:r>
      <w:r w:rsidRPr="00625F8A">
        <w:rPr>
          <w:rFonts w:eastAsia="Times New Roman" w:cs="Times New Roman"/>
          <w:sz w:val="24"/>
          <w:szCs w:val="24"/>
        </w:rPr>
        <w:t xml:space="preserve">profit. </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p>
    <w:p w:rsidR="000E2D0C" w:rsidRPr="00625F8A" w:rsidRDefault="000E2D0C" w:rsidP="000E2D0C">
      <w:pPr>
        <w:rPr>
          <w:rFonts w:cs="Times New Roman"/>
          <w:i/>
          <w:sz w:val="24"/>
          <w:szCs w:val="24"/>
        </w:rPr>
      </w:pPr>
      <w:r w:rsidRPr="00625F8A">
        <w:rPr>
          <w:rFonts w:cs="Times New Roman"/>
          <w:i/>
          <w:sz w:val="24"/>
          <w:szCs w:val="24"/>
        </w:rPr>
        <w:t xml:space="preserve">3. Cumulative Grant Award </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Grantees receiving collective federal grant awards of $750,000 or more are subject to the Single Audit Act and are required to provide a copy of this audit to the Collaborative Applicant. </w:t>
      </w:r>
    </w:p>
    <w:p w:rsidR="000E2D0C" w:rsidRPr="00625F8A" w:rsidRDefault="000E2D0C" w:rsidP="000E2D0C">
      <w:pPr>
        <w:rPr>
          <w:rFonts w:cs="Times New Roman"/>
          <w:sz w:val="24"/>
          <w:szCs w:val="24"/>
        </w:rPr>
      </w:pPr>
    </w:p>
    <w:p w:rsidR="000E2D0C" w:rsidRPr="00625F8A" w:rsidRDefault="000E2D0C" w:rsidP="000E2D0C">
      <w:pPr>
        <w:rPr>
          <w:rFonts w:eastAsiaTheme="majorEastAsia" w:cs="Times New Roman"/>
          <w:i/>
          <w:sz w:val="24"/>
          <w:szCs w:val="24"/>
        </w:rPr>
      </w:pPr>
      <w:r w:rsidRPr="00625F8A">
        <w:rPr>
          <w:rFonts w:eastAsiaTheme="majorEastAsia" w:cs="Times New Roman"/>
          <w:i/>
          <w:sz w:val="24"/>
          <w:szCs w:val="24"/>
        </w:rPr>
        <w:t xml:space="preserve">4. Administrative History </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The extent to which a grantee has correctly APRs and other HUD related reports. </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p>
    <w:p w:rsidR="000E2D0C" w:rsidRPr="00625F8A" w:rsidRDefault="000E2D0C" w:rsidP="000E2D0C">
      <w:pPr>
        <w:rPr>
          <w:rFonts w:cs="Times New Roman"/>
          <w:i/>
          <w:sz w:val="24"/>
          <w:szCs w:val="24"/>
        </w:rPr>
      </w:pPr>
      <w:r w:rsidRPr="00625F8A">
        <w:rPr>
          <w:rFonts w:cs="Times New Roman"/>
          <w:i/>
          <w:sz w:val="24"/>
          <w:szCs w:val="24"/>
        </w:rPr>
        <w:t xml:space="preserve">5. Program Performance </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The extent to which program performance goals were met.</w:t>
      </w:r>
    </w:p>
    <w:p w:rsidR="000E2D0C" w:rsidRPr="00625F8A" w:rsidRDefault="000E2D0C" w:rsidP="000E2D0C">
      <w:pPr>
        <w:widowControl w:val="0"/>
        <w:overflowPunct w:val="0"/>
        <w:autoSpaceDE w:val="0"/>
        <w:autoSpaceDN w:val="0"/>
        <w:adjustRightInd w:val="0"/>
        <w:spacing w:after="0" w:line="240" w:lineRule="auto"/>
        <w:rPr>
          <w:rFonts w:eastAsia="Times New Roman" w:cs="Times New Roman"/>
          <w:sz w:val="24"/>
          <w:szCs w:val="24"/>
        </w:rPr>
      </w:pPr>
      <w:r w:rsidRPr="00625F8A">
        <w:rPr>
          <w:rFonts w:eastAsia="Times New Roman" w:cs="Times New Roman"/>
          <w:sz w:val="24"/>
          <w:szCs w:val="24"/>
        </w:rPr>
        <w:t xml:space="preserve"> </w:t>
      </w:r>
    </w:p>
    <w:p w:rsidR="000E2D0C" w:rsidRPr="00625F8A" w:rsidRDefault="000E2D0C" w:rsidP="000E2D0C">
      <w:pPr>
        <w:rPr>
          <w:rFonts w:cs="Times New Roman"/>
          <w:i/>
          <w:sz w:val="24"/>
          <w:szCs w:val="24"/>
        </w:rPr>
      </w:pPr>
      <w:r w:rsidRPr="00625F8A">
        <w:rPr>
          <w:rFonts w:cs="Times New Roman"/>
          <w:i/>
          <w:sz w:val="24"/>
          <w:szCs w:val="24"/>
        </w:rPr>
        <w:t xml:space="preserve">6. Financial Capacity </w:t>
      </w:r>
    </w:p>
    <w:p w:rsidR="00A549F7" w:rsidRPr="00625F8A" w:rsidRDefault="000E2D0C" w:rsidP="002A79A8">
      <w:pPr>
        <w:rPr>
          <w:rFonts w:eastAsia="Times New Roman" w:cs="Times New Roman"/>
          <w:sz w:val="24"/>
          <w:szCs w:val="24"/>
        </w:rPr>
      </w:pPr>
      <w:r w:rsidRPr="00625F8A">
        <w:rPr>
          <w:rFonts w:eastAsia="Times New Roman" w:cs="Times New Roman"/>
          <w:sz w:val="24"/>
          <w:szCs w:val="24"/>
        </w:rPr>
        <w:t xml:space="preserve">The extent to which drawdowns are requested at least quarterly and funds are being expended at a reasonable rate to allow for full expenditure of the grant. </w:t>
      </w:r>
    </w:p>
    <w:p w:rsidR="00B07975" w:rsidRPr="00625F8A" w:rsidRDefault="00B07975" w:rsidP="002A79A8">
      <w:pPr>
        <w:rPr>
          <w:rFonts w:cs="Times New Roman"/>
          <w:b/>
          <w:sz w:val="24"/>
          <w:szCs w:val="24"/>
          <w:u w:val="single"/>
        </w:rPr>
      </w:pPr>
      <w:r w:rsidRPr="00625F8A">
        <w:rPr>
          <w:rFonts w:cs="Times New Roman"/>
          <w:b/>
          <w:sz w:val="24"/>
          <w:szCs w:val="24"/>
          <w:u w:val="single"/>
        </w:rPr>
        <w:lastRenderedPageBreak/>
        <w:t>Project Performance Monitoring:</w:t>
      </w:r>
    </w:p>
    <w:p w:rsidR="00815403" w:rsidRPr="00625F8A" w:rsidRDefault="00B07975" w:rsidP="00815403">
      <w:pPr>
        <w:rPr>
          <w:rFonts w:cs="Times New Roman"/>
          <w:sz w:val="24"/>
          <w:szCs w:val="24"/>
        </w:rPr>
      </w:pPr>
      <w:r w:rsidRPr="00625F8A">
        <w:rPr>
          <w:rFonts w:cs="Times New Roman"/>
          <w:sz w:val="24"/>
          <w:szCs w:val="24"/>
        </w:rPr>
        <w:t>Currently, th</w:t>
      </w:r>
      <w:r w:rsidR="00815403" w:rsidRPr="00625F8A">
        <w:rPr>
          <w:rFonts w:cs="Times New Roman"/>
          <w:sz w:val="24"/>
          <w:szCs w:val="24"/>
        </w:rPr>
        <w:t xml:space="preserve">e Application Ranking Committee is provided with information about the performance of funded programs in HUD required measures only.  </w:t>
      </w:r>
    </w:p>
    <w:p w:rsidR="00815403" w:rsidRPr="00625F8A" w:rsidRDefault="00815403" w:rsidP="00815403">
      <w:pPr>
        <w:rPr>
          <w:rFonts w:cs="Times New Roman"/>
          <w:sz w:val="24"/>
          <w:szCs w:val="24"/>
        </w:rPr>
      </w:pPr>
      <w:r w:rsidRPr="00625F8A">
        <w:rPr>
          <w:rFonts w:cs="Times New Roman"/>
          <w:sz w:val="24"/>
          <w:szCs w:val="24"/>
        </w:rPr>
        <w:t>How much:</w:t>
      </w:r>
    </w:p>
    <w:p w:rsidR="00815403" w:rsidRPr="00625F8A" w:rsidRDefault="00815403" w:rsidP="00815403">
      <w:pPr>
        <w:pStyle w:val="ListParagraph"/>
        <w:numPr>
          <w:ilvl w:val="0"/>
          <w:numId w:val="2"/>
        </w:numPr>
        <w:rPr>
          <w:rFonts w:cs="Times New Roman"/>
          <w:sz w:val="24"/>
          <w:szCs w:val="24"/>
        </w:rPr>
      </w:pPr>
      <w:r w:rsidRPr="00625F8A">
        <w:rPr>
          <w:rFonts w:cs="Times New Roman"/>
          <w:sz w:val="24"/>
          <w:szCs w:val="24"/>
        </w:rPr>
        <w:t># of beds/CH beds</w:t>
      </w:r>
    </w:p>
    <w:p w:rsidR="00815403" w:rsidRPr="00625F8A" w:rsidRDefault="00815403" w:rsidP="00815403">
      <w:pPr>
        <w:pStyle w:val="ListParagraph"/>
        <w:numPr>
          <w:ilvl w:val="0"/>
          <w:numId w:val="2"/>
        </w:numPr>
        <w:rPr>
          <w:rFonts w:cs="Times New Roman"/>
          <w:sz w:val="24"/>
          <w:szCs w:val="24"/>
        </w:rPr>
      </w:pPr>
      <w:r w:rsidRPr="00625F8A">
        <w:rPr>
          <w:rFonts w:cs="Times New Roman"/>
          <w:sz w:val="24"/>
          <w:szCs w:val="24"/>
        </w:rPr>
        <w:t># served</w:t>
      </w:r>
    </w:p>
    <w:p w:rsidR="00815403" w:rsidRPr="00625F8A" w:rsidRDefault="00815403" w:rsidP="00815403">
      <w:pPr>
        <w:pStyle w:val="ListParagraph"/>
        <w:numPr>
          <w:ilvl w:val="0"/>
          <w:numId w:val="2"/>
        </w:numPr>
        <w:rPr>
          <w:rFonts w:cs="Times New Roman"/>
          <w:sz w:val="24"/>
          <w:szCs w:val="24"/>
          <w:highlight w:val="yellow"/>
        </w:rPr>
      </w:pPr>
      <w:r w:rsidRPr="00625F8A">
        <w:rPr>
          <w:rFonts w:cs="Times New Roman"/>
          <w:sz w:val="24"/>
          <w:szCs w:val="24"/>
          <w:highlight w:val="yellow"/>
        </w:rPr>
        <w:t>Bed utilization rate</w:t>
      </w:r>
    </w:p>
    <w:p w:rsidR="00815403" w:rsidRPr="00625F8A" w:rsidRDefault="00815403" w:rsidP="00815403">
      <w:pPr>
        <w:pStyle w:val="ListParagraph"/>
        <w:numPr>
          <w:ilvl w:val="0"/>
          <w:numId w:val="2"/>
        </w:numPr>
        <w:rPr>
          <w:rFonts w:cs="Times New Roman"/>
          <w:sz w:val="24"/>
          <w:szCs w:val="24"/>
          <w:highlight w:val="yellow"/>
        </w:rPr>
      </w:pPr>
      <w:r w:rsidRPr="00625F8A">
        <w:rPr>
          <w:rFonts w:cs="Times New Roman"/>
          <w:sz w:val="24"/>
          <w:szCs w:val="24"/>
          <w:highlight w:val="yellow"/>
        </w:rPr>
        <w:t>% of missing HMIS data.</w:t>
      </w:r>
    </w:p>
    <w:p w:rsidR="00815403" w:rsidRPr="00625F8A" w:rsidRDefault="00815403" w:rsidP="00815403">
      <w:pPr>
        <w:pStyle w:val="ListParagraph"/>
        <w:numPr>
          <w:ilvl w:val="0"/>
          <w:numId w:val="2"/>
        </w:numPr>
        <w:rPr>
          <w:rFonts w:cs="Times New Roman"/>
          <w:sz w:val="24"/>
          <w:szCs w:val="24"/>
          <w:highlight w:val="yellow"/>
        </w:rPr>
      </w:pPr>
      <w:r w:rsidRPr="00625F8A">
        <w:rPr>
          <w:rFonts w:cs="Times New Roman"/>
          <w:sz w:val="24"/>
          <w:szCs w:val="24"/>
          <w:highlight w:val="yellow"/>
        </w:rPr>
        <w:t>Match/leverage secured by each organization.</w:t>
      </w:r>
    </w:p>
    <w:p w:rsidR="00815403" w:rsidRPr="00625F8A" w:rsidRDefault="00815403" w:rsidP="00815403">
      <w:pPr>
        <w:pStyle w:val="ListParagraph"/>
        <w:ind w:left="1800"/>
        <w:rPr>
          <w:rFonts w:cs="Times New Roman"/>
          <w:sz w:val="24"/>
          <w:szCs w:val="24"/>
          <w:highlight w:val="yellow"/>
        </w:rPr>
      </w:pPr>
    </w:p>
    <w:p w:rsidR="00815403" w:rsidRPr="00625F8A" w:rsidRDefault="00815403" w:rsidP="00815403">
      <w:pPr>
        <w:rPr>
          <w:rFonts w:cs="Times New Roman"/>
          <w:sz w:val="24"/>
          <w:szCs w:val="24"/>
        </w:rPr>
      </w:pPr>
      <w:r w:rsidRPr="00625F8A">
        <w:rPr>
          <w:rFonts w:cs="Times New Roman"/>
          <w:sz w:val="24"/>
          <w:szCs w:val="24"/>
        </w:rPr>
        <w:t>How well:</w:t>
      </w:r>
    </w:p>
    <w:p w:rsidR="00815403" w:rsidRPr="00625F8A" w:rsidRDefault="00815403" w:rsidP="00815403">
      <w:pPr>
        <w:pStyle w:val="ListParagraph"/>
        <w:numPr>
          <w:ilvl w:val="0"/>
          <w:numId w:val="2"/>
        </w:numPr>
        <w:rPr>
          <w:rFonts w:cs="Times New Roman"/>
          <w:sz w:val="24"/>
          <w:szCs w:val="24"/>
          <w:highlight w:val="yellow"/>
        </w:rPr>
      </w:pPr>
      <w:r w:rsidRPr="00625F8A">
        <w:rPr>
          <w:rFonts w:cs="Times New Roman"/>
          <w:sz w:val="24"/>
          <w:szCs w:val="24"/>
          <w:highlight w:val="yellow"/>
        </w:rPr>
        <w:t>% of participants entering program with status of literally homeless</w:t>
      </w:r>
    </w:p>
    <w:p w:rsidR="00815403" w:rsidRPr="00625F8A" w:rsidRDefault="00815403" w:rsidP="00815403">
      <w:pPr>
        <w:pStyle w:val="ListParagraph"/>
        <w:numPr>
          <w:ilvl w:val="0"/>
          <w:numId w:val="2"/>
        </w:numPr>
        <w:rPr>
          <w:rFonts w:cs="Times New Roman"/>
          <w:sz w:val="24"/>
          <w:szCs w:val="24"/>
        </w:rPr>
      </w:pPr>
      <w:r w:rsidRPr="00625F8A">
        <w:rPr>
          <w:rFonts w:cs="Times New Roman"/>
          <w:sz w:val="24"/>
          <w:szCs w:val="24"/>
        </w:rPr>
        <w:t>Length of time participants are homeless</w:t>
      </w:r>
    </w:p>
    <w:p w:rsidR="00815403" w:rsidRPr="00625F8A" w:rsidRDefault="00815403" w:rsidP="00815403">
      <w:pPr>
        <w:pStyle w:val="ListParagraph"/>
        <w:numPr>
          <w:ilvl w:val="0"/>
          <w:numId w:val="2"/>
        </w:numPr>
        <w:rPr>
          <w:rFonts w:cs="Times New Roman"/>
          <w:sz w:val="24"/>
          <w:szCs w:val="24"/>
        </w:rPr>
      </w:pPr>
      <w:r w:rsidRPr="00625F8A">
        <w:rPr>
          <w:rFonts w:cs="Times New Roman"/>
          <w:sz w:val="24"/>
          <w:szCs w:val="24"/>
        </w:rPr>
        <w:t>% of participants accessing one or more mainstream resources/benefits</w:t>
      </w:r>
    </w:p>
    <w:p w:rsidR="00815403" w:rsidRPr="00625F8A" w:rsidRDefault="00815403" w:rsidP="00815403">
      <w:pPr>
        <w:pStyle w:val="ListParagraph"/>
        <w:numPr>
          <w:ilvl w:val="0"/>
          <w:numId w:val="2"/>
        </w:numPr>
        <w:ind w:left="1440"/>
        <w:rPr>
          <w:rFonts w:cs="Times New Roman"/>
          <w:sz w:val="24"/>
          <w:szCs w:val="24"/>
        </w:rPr>
      </w:pPr>
      <w:r w:rsidRPr="00625F8A">
        <w:rPr>
          <w:rFonts w:cs="Times New Roman"/>
          <w:sz w:val="24"/>
          <w:szCs w:val="24"/>
        </w:rPr>
        <w:t>Cost per bed</w:t>
      </w:r>
    </w:p>
    <w:p w:rsidR="00815403" w:rsidRPr="00625F8A" w:rsidRDefault="00815403" w:rsidP="00815403">
      <w:pPr>
        <w:pStyle w:val="ListParagraph"/>
        <w:numPr>
          <w:ilvl w:val="0"/>
          <w:numId w:val="4"/>
        </w:numPr>
        <w:rPr>
          <w:rFonts w:cs="Times New Roman"/>
          <w:sz w:val="24"/>
          <w:szCs w:val="24"/>
        </w:rPr>
      </w:pPr>
      <w:r w:rsidRPr="00625F8A">
        <w:rPr>
          <w:rFonts w:cs="Times New Roman"/>
          <w:sz w:val="24"/>
          <w:szCs w:val="24"/>
        </w:rPr>
        <w:t>Cost per person (adult only)</w:t>
      </w:r>
    </w:p>
    <w:p w:rsidR="00815403" w:rsidRPr="00625F8A" w:rsidRDefault="00815403" w:rsidP="00815403">
      <w:pPr>
        <w:pStyle w:val="ListParagraph"/>
        <w:numPr>
          <w:ilvl w:val="0"/>
          <w:numId w:val="4"/>
        </w:numPr>
        <w:rPr>
          <w:rFonts w:cs="Times New Roman"/>
          <w:sz w:val="24"/>
          <w:szCs w:val="24"/>
        </w:rPr>
      </w:pPr>
      <w:r w:rsidRPr="00625F8A">
        <w:rPr>
          <w:rFonts w:cs="Times New Roman"/>
          <w:sz w:val="24"/>
          <w:szCs w:val="24"/>
        </w:rPr>
        <w:t>Timely submissions to APRS</w:t>
      </w:r>
    </w:p>
    <w:p w:rsidR="00815403" w:rsidRPr="00625F8A" w:rsidRDefault="00815403" w:rsidP="00815403">
      <w:pPr>
        <w:pStyle w:val="ListParagraph"/>
        <w:numPr>
          <w:ilvl w:val="0"/>
          <w:numId w:val="4"/>
        </w:numPr>
        <w:rPr>
          <w:rFonts w:cs="Times New Roman"/>
          <w:sz w:val="24"/>
          <w:szCs w:val="24"/>
        </w:rPr>
      </w:pPr>
      <w:r w:rsidRPr="00625F8A">
        <w:rPr>
          <w:rFonts w:cs="Times New Roman"/>
          <w:sz w:val="24"/>
          <w:szCs w:val="24"/>
        </w:rPr>
        <w:t>Timely draws from LOCCS</w:t>
      </w:r>
    </w:p>
    <w:p w:rsidR="00815403" w:rsidRPr="00625F8A" w:rsidRDefault="00815403" w:rsidP="00815403">
      <w:pPr>
        <w:rPr>
          <w:rFonts w:cs="Times New Roman"/>
          <w:sz w:val="24"/>
          <w:szCs w:val="24"/>
        </w:rPr>
      </w:pPr>
      <w:r w:rsidRPr="00625F8A">
        <w:rPr>
          <w:rFonts w:cs="Times New Roman"/>
          <w:sz w:val="24"/>
          <w:szCs w:val="24"/>
        </w:rPr>
        <w:t>Is anyone better off:</w:t>
      </w:r>
    </w:p>
    <w:p w:rsidR="00815403" w:rsidRPr="00625F8A" w:rsidRDefault="00815403" w:rsidP="00815403">
      <w:pPr>
        <w:pStyle w:val="ListParagraph"/>
        <w:numPr>
          <w:ilvl w:val="0"/>
          <w:numId w:val="3"/>
        </w:numPr>
        <w:rPr>
          <w:rFonts w:cs="Times New Roman"/>
          <w:sz w:val="24"/>
          <w:szCs w:val="24"/>
          <w:highlight w:val="yellow"/>
        </w:rPr>
      </w:pPr>
      <w:r w:rsidRPr="00625F8A">
        <w:rPr>
          <w:rFonts w:cs="Times New Roman"/>
          <w:sz w:val="24"/>
          <w:szCs w:val="24"/>
          <w:highlight w:val="yellow"/>
        </w:rPr>
        <w:t>% and # of participants (stayers/leavers) who increased income</w:t>
      </w:r>
    </w:p>
    <w:p w:rsidR="00815403" w:rsidRPr="00625F8A" w:rsidRDefault="00815403" w:rsidP="00815403">
      <w:pPr>
        <w:pStyle w:val="ListParagraph"/>
        <w:numPr>
          <w:ilvl w:val="0"/>
          <w:numId w:val="3"/>
        </w:numPr>
        <w:rPr>
          <w:rFonts w:cs="Times New Roman"/>
          <w:sz w:val="24"/>
          <w:szCs w:val="24"/>
          <w:highlight w:val="yellow"/>
        </w:rPr>
      </w:pPr>
      <w:r w:rsidRPr="00625F8A">
        <w:rPr>
          <w:rFonts w:cs="Times New Roman"/>
          <w:sz w:val="24"/>
          <w:szCs w:val="24"/>
          <w:highlight w:val="yellow"/>
        </w:rPr>
        <w:t>% of participants who exit to permanent housing</w:t>
      </w:r>
    </w:p>
    <w:p w:rsidR="00815403" w:rsidRPr="00625F8A" w:rsidRDefault="00815403" w:rsidP="00815403">
      <w:pPr>
        <w:pStyle w:val="ListParagraph"/>
        <w:numPr>
          <w:ilvl w:val="0"/>
          <w:numId w:val="3"/>
        </w:numPr>
        <w:rPr>
          <w:rFonts w:cs="Times New Roman"/>
          <w:sz w:val="24"/>
          <w:szCs w:val="24"/>
          <w:highlight w:val="yellow"/>
        </w:rPr>
      </w:pPr>
      <w:r w:rsidRPr="00625F8A">
        <w:rPr>
          <w:rFonts w:cs="Times New Roman"/>
          <w:sz w:val="24"/>
          <w:szCs w:val="24"/>
          <w:highlight w:val="yellow"/>
        </w:rPr>
        <w:t>% of participants remaining in permanent housing after 6+ months</w:t>
      </w:r>
    </w:p>
    <w:p w:rsidR="00815403" w:rsidRPr="00625F8A" w:rsidRDefault="00815403" w:rsidP="00815403">
      <w:pPr>
        <w:pStyle w:val="ListParagraph"/>
        <w:ind w:left="1440"/>
        <w:rPr>
          <w:rFonts w:cs="Times New Roman"/>
          <w:sz w:val="24"/>
          <w:szCs w:val="24"/>
        </w:rPr>
      </w:pPr>
    </w:p>
    <w:p w:rsidR="00815403" w:rsidRPr="00625F8A" w:rsidRDefault="00815403" w:rsidP="00815403">
      <w:pPr>
        <w:rPr>
          <w:rFonts w:cs="Times New Roman"/>
          <w:sz w:val="24"/>
          <w:szCs w:val="24"/>
        </w:rPr>
      </w:pPr>
      <w:r w:rsidRPr="00625F8A">
        <w:rPr>
          <w:rFonts w:cs="Times New Roman"/>
          <w:sz w:val="24"/>
          <w:szCs w:val="24"/>
        </w:rPr>
        <w:t xml:space="preserve">Note:  Highlighted areas have minimum performance goals established by HUD.  </w:t>
      </w:r>
    </w:p>
    <w:p w:rsidR="00815403" w:rsidRPr="00625F8A" w:rsidRDefault="00815403" w:rsidP="00815403">
      <w:pPr>
        <w:rPr>
          <w:rFonts w:cs="Times New Roman"/>
          <w:sz w:val="24"/>
          <w:szCs w:val="24"/>
        </w:rPr>
      </w:pPr>
      <w:r w:rsidRPr="00625F8A">
        <w:rPr>
          <w:rFonts w:cs="Times New Roman"/>
          <w:sz w:val="24"/>
          <w:szCs w:val="24"/>
        </w:rPr>
        <w:t>To expand on this basic project performance monitoring, CCHA implements the following steps:</w:t>
      </w:r>
    </w:p>
    <w:p w:rsidR="00604D22" w:rsidRPr="00625F8A" w:rsidRDefault="00815403" w:rsidP="00604D22">
      <w:pPr>
        <w:rPr>
          <w:rFonts w:cs="Times New Roman"/>
          <w:sz w:val="24"/>
          <w:szCs w:val="24"/>
        </w:rPr>
      </w:pPr>
      <w:r w:rsidRPr="00625F8A">
        <w:rPr>
          <w:rFonts w:cs="Times New Roman"/>
          <w:b/>
          <w:sz w:val="24"/>
          <w:szCs w:val="24"/>
        </w:rPr>
        <w:t>Steering Committee Meeting Presentations</w:t>
      </w:r>
      <w:r w:rsidRPr="00625F8A">
        <w:rPr>
          <w:rFonts w:cs="Times New Roman"/>
          <w:sz w:val="24"/>
          <w:szCs w:val="24"/>
        </w:rPr>
        <w:t xml:space="preserve"> – Once the Notice of Funding Opportunity cycle begins, </w:t>
      </w:r>
      <w:r w:rsidR="00604D22" w:rsidRPr="00625F8A">
        <w:rPr>
          <w:rFonts w:cs="Times New Roman"/>
          <w:sz w:val="24"/>
          <w:szCs w:val="24"/>
        </w:rPr>
        <w:t xml:space="preserve">the Alliance makes time during the monthly Steering Committee meetings for each program receiving HUD funds through the Collaborative Application process to provide a mid-year report on progress to date. Those projects that have received funding for more than one year should provide some historical perspective. During the meeting, the Steering Committee will provide input as needed. </w:t>
      </w:r>
    </w:p>
    <w:p w:rsidR="004F7E73" w:rsidRPr="00625F8A" w:rsidRDefault="00E93D68" w:rsidP="004F7E73">
      <w:pPr>
        <w:spacing w:after="0"/>
        <w:rPr>
          <w:rFonts w:cs="Times New Roman"/>
          <w:b/>
          <w:sz w:val="24"/>
          <w:szCs w:val="24"/>
        </w:rPr>
      </w:pPr>
      <w:r w:rsidRPr="00625F8A">
        <w:rPr>
          <w:rFonts w:cs="Times New Roman"/>
          <w:b/>
          <w:sz w:val="24"/>
          <w:szCs w:val="24"/>
        </w:rPr>
        <w:t>Desktop</w:t>
      </w:r>
      <w:r w:rsidR="001264FC" w:rsidRPr="00625F8A">
        <w:rPr>
          <w:rFonts w:cs="Times New Roman"/>
          <w:b/>
          <w:sz w:val="24"/>
          <w:szCs w:val="24"/>
        </w:rPr>
        <w:t xml:space="preserve"> Monitoring</w:t>
      </w:r>
      <w:r w:rsidR="001264FC" w:rsidRPr="00625F8A">
        <w:rPr>
          <w:rFonts w:cs="Times New Roman"/>
          <w:sz w:val="24"/>
          <w:szCs w:val="24"/>
        </w:rPr>
        <w:t xml:space="preserve"> – Annually, the Collaborative Applicant will conduct a desktop review of </w:t>
      </w:r>
      <w:proofErr w:type="spellStart"/>
      <w:r w:rsidR="001264FC" w:rsidRPr="00625F8A">
        <w:rPr>
          <w:rFonts w:cs="Times New Roman"/>
          <w:sz w:val="24"/>
          <w:szCs w:val="24"/>
        </w:rPr>
        <w:t>CoC</w:t>
      </w:r>
      <w:proofErr w:type="spellEnd"/>
      <w:r w:rsidR="001264FC" w:rsidRPr="00625F8A">
        <w:rPr>
          <w:rFonts w:cs="Times New Roman"/>
          <w:sz w:val="24"/>
          <w:szCs w:val="24"/>
        </w:rPr>
        <w:t xml:space="preserve">-funded grantees. The Collaborative Applicant will provide a checklist to each grantee </w:t>
      </w:r>
      <w:r w:rsidR="001264FC" w:rsidRPr="00625F8A">
        <w:rPr>
          <w:rFonts w:cs="Times New Roman"/>
          <w:sz w:val="24"/>
          <w:szCs w:val="24"/>
        </w:rPr>
        <w:lastRenderedPageBreak/>
        <w:t xml:space="preserve">requesting documentation to include but not limited to: executed grant agreement and amendments, any Memorandum of Understanding </w:t>
      </w:r>
      <w:r w:rsidR="001264FC" w:rsidRPr="00D03897">
        <w:rPr>
          <w:rFonts w:cs="Times New Roman"/>
          <w:sz w:val="24"/>
          <w:szCs w:val="24"/>
        </w:rPr>
        <w:t>with subrecipients, debarment documentation subrecipients, any monitoring of subrecipients, submitted Project Application,</w:t>
      </w:r>
      <w:r w:rsidR="001264FC" w:rsidRPr="00625F8A">
        <w:rPr>
          <w:rFonts w:cs="Times New Roman"/>
          <w:sz w:val="24"/>
          <w:szCs w:val="24"/>
        </w:rPr>
        <w:t xml:space="preserve"> </w:t>
      </w:r>
      <w:r w:rsidR="00B45CB7" w:rsidRPr="00625F8A">
        <w:rPr>
          <w:rFonts w:cs="Times New Roman"/>
          <w:sz w:val="24"/>
          <w:szCs w:val="24"/>
        </w:rPr>
        <w:t xml:space="preserve">documentation timely </w:t>
      </w:r>
      <w:r w:rsidR="001264FC" w:rsidRPr="00625F8A">
        <w:rPr>
          <w:rFonts w:cs="Times New Roman"/>
          <w:sz w:val="24"/>
          <w:szCs w:val="24"/>
        </w:rPr>
        <w:t>Annual Performance Report</w:t>
      </w:r>
      <w:r w:rsidR="00B45CB7" w:rsidRPr="00625F8A">
        <w:rPr>
          <w:rFonts w:cs="Times New Roman"/>
          <w:sz w:val="24"/>
          <w:szCs w:val="24"/>
        </w:rPr>
        <w:t xml:space="preserve"> submittals, w</w:t>
      </w:r>
      <w:r w:rsidR="001264FC" w:rsidRPr="00625F8A">
        <w:rPr>
          <w:rFonts w:cs="Times New Roman"/>
          <w:sz w:val="24"/>
          <w:szCs w:val="24"/>
        </w:rPr>
        <w:t xml:space="preserve">ritten </w:t>
      </w:r>
      <w:proofErr w:type="spellStart"/>
      <w:r w:rsidR="001264FC" w:rsidRPr="00625F8A">
        <w:rPr>
          <w:rFonts w:cs="Times New Roman"/>
          <w:sz w:val="24"/>
          <w:szCs w:val="24"/>
        </w:rPr>
        <w:t>CoC</w:t>
      </w:r>
      <w:proofErr w:type="spellEnd"/>
      <w:r w:rsidR="001264FC" w:rsidRPr="00625F8A">
        <w:rPr>
          <w:rFonts w:cs="Times New Roman"/>
          <w:sz w:val="24"/>
          <w:szCs w:val="24"/>
        </w:rPr>
        <w:t xml:space="preserve"> Program Policies and Procedures to </w:t>
      </w:r>
      <w:r w:rsidR="00B45CB7" w:rsidRPr="00625F8A">
        <w:rPr>
          <w:rFonts w:cs="Times New Roman"/>
          <w:sz w:val="24"/>
          <w:szCs w:val="24"/>
        </w:rPr>
        <w:t>include i</w:t>
      </w:r>
      <w:r w:rsidR="001264FC" w:rsidRPr="00625F8A">
        <w:rPr>
          <w:rFonts w:cs="Times New Roman"/>
          <w:sz w:val="24"/>
          <w:szCs w:val="24"/>
        </w:rPr>
        <w:t>ntake</w:t>
      </w:r>
      <w:r w:rsidR="00B45CB7" w:rsidRPr="00625F8A">
        <w:rPr>
          <w:rFonts w:cs="Times New Roman"/>
          <w:sz w:val="24"/>
          <w:szCs w:val="24"/>
        </w:rPr>
        <w:t>/screening, personnel policies/procedures, termination policy, grievance policy, privacy/confidentiality policy, drug-free workplace policy, domestic violence policy, policy identifying the involvement of those with lived experience, environmental review, compliance with fair housing requirements, financial policies, procurement policies, conflict of interest policy, documentation of match, grant expenditures and quarterly draw requests.</w:t>
      </w:r>
    </w:p>
    <w:p w:rsidR="004F7E73" w:rsidRPr="00D03897" w:rsidRDefault="004F7E73" w:rsidP="004F7E73">
      <w:pPr>
        <w:spacing w:after="0"/>
        <w:rPr>
          <w:rFonts w:cs="Times New Roman"/>
          <w:b/>
          <w:color w:val="7030A0"/>
          <w:sz w:val="24"/>
          <w:szCs w:val="24"/>
        </w:rPr>
      </w:pPr>
    </w:p>
    <w:p w:rsidR="00604D22" w:rsidRPr="00625F8A" w:rsidRDefault="00604D22" w:rsidP="004F7E73">
      <w:pPr>
        <w:spacing w:after="0"/>
        <w:rPr>
          <w:rFonts w:cs="Times New Roman"/>
          <w:sz w:val="24"/>
          <w:szCs w:val="24"/>
        </w:rPr>
      </w:pPr>
      <w:r w:rsidRPr="00625F8A">
        <w:rPr>
          <w:rFonts w:cs="Times New Roman"/>
          <w:b/>
          <w:sz w:val="24"/>
          <w:szCs w:val="24"/>
        </w:rPr>
        <w:t>On-site Monitoring</w:t>
      </w:r>
      <w:r w:rsidRPr="00625F8A">
        <w:rPr>
          <w:rFonts w:cs="Times New Roman"/>
          <w:sz w:val="24"/>
          <w:szCs w:val="24"/>
        </w:rPr>
        <w:t xml:space="preserve"> – A S</w:t>
      </w:r>
      <w:r w:rsidRPr="00625F8A">
        <w:rPr>
          <w:rFonts w:cs="Times New Roman"/>
          <w:sz w:val="24"/>
          <w:szCs w:val="24"/>
          <w:highlight w:val="yellow"/>
        </w:rPr>
        <w:t>ub-committee o</w:t>
      </w:r>
      <w:r w:rsidR="0088123E" w:rsidRPr="00625F8A">
        <w:rPr>
          <w:rFonts w:cs="Times New Roman"/>
          <w:sz w:val="24"/>
          <w:szCs w:val="24"/>
          <w:highlight w:val="yellow"/>
        </w:rPr>
        <w:t xml:space="preserve">f the Application Ranking </w:t>
      </w:r>
      <w:r w:rsidR="00D03897">
        <w:rPr>
          <w:rFonts w:cs="Times New Roman"/>
          <w:sz w:val="24"/>
          <w:szCs w:val="24"/>
          <w:highlight w:val="yellow"/>
        </w:rPr>
        <w:t>Committee</w:t>
      </w:r>
      <w:r w:rsidR="00D03897">
        <w:rPr>
          <w:rFonts w:cs="Times New Roman"/>
          <w:sz w:val="24"/>
          <w:szCs w:val="24"/>
        </w:rPr>
        <w:t>,</w:t>
      </w:r>
      <w:r w:rsidRPr="00625F8A">
        <w:rPr>
          <w:rFonts w:cs="Times New Roman"/>
          <w:sz w:val="24"/>
          <w:szCs w:val="24"/>
        </w:rPr>
        <w:t xml:space="preserve"> along with the Collaborative Applicant conducts site visits to all programs who receive </w:t>
      </w:r>
      <w:proofErr w:type="spellStart"/>
      <w:r w:rsidRPr="00625F8A">
        <w:rPr>
          <w:rFonts w:cs="Times New Roman"/>
          <w:sz w:val="24"/>
          <w:szCs w:val="24"/>
        </w:rPr>
        <w:t>CoC</w:t>
      </w:r>
      <w:proofErr w:type="spellEnd"/>
      <w:r w:rsidRPr="00625F8A">
        <w:rPr>
          <w:rFonts w:cs="Times New Roman"/>
          <w:sz w:val="24"/>
          <w:szCs w:val="24"/>
        </w:rPr>
        <w:t xml:space="preserve"> funding. The on-site monitoring will include random file reviews to ensure proper documentation for homelessness</w:t>
      </w:r>
      <w:r w:rsidR="001264FC" w:rsidRPr="00625F8A">
        <w:rPr>
          <w:rFonts w:cs="Times New Roman"/>
          <w:sz w:val="24"/>
          <w:szCs w:val="24"/>
        </w:rPr>
        <w:t>, disability documentation</w:t>
      </w:r>
      <w:r w:rsidRPr="00625F8A">
        <w:rPr>
          <w:rFonts w:cs="Times New Roman"/>
          <w:sz w:val="24"/>
          <w:szCs w:val="24"/>
        </w:rPr>
        <w:t xml:space="preserve"> and other </w:t>
      </w:r>
      <w:r w:rsidR="00B45CB7" w:rsidRPr="00625F8A">
        <w:rPr>
          <w:rFonts w:cs="Times New Roman"/>
          <w:sz w:val="24"/>
          <w:szCs w:val="24"/>
        </w:rPr>
        <w:t xml:space="preserve">compliance </w:t>
      </w:r>
      <w:r w:rsidRPr="00625F8A">
        <w:rPr>
          <w:rFonts w:cs="Times New Roman"/>
          <w:sz w:val="24"/>
          <w:szCs w:val="24"/>
        </w:rPr>
        <w:t xml:space="preserve">requirements as well as qualitative interviews on project successes and challenges. </w:t>
      </w:r>
      <w:r w:rsidR="00E95DC0">
        <w:rPr>
          <w:rFonts w:cs="Times New Roman"/>
          <w:sz w:val="24"/>
          <w:szCs w:val="24"/>
        </w:rPr>
        <w:t>All organizations and programs will receive an initial on-site visit. After the baseline visit, an annual risk assessment will determine if an on-site visit is needed. Agencies will receive an on-site visit at least one time every 3 years.</w:t>
      </w:r>
    </w:p>
    <w:p w:rsidR="004F7E73" w:rsidRPr="00625F8A" w:rsidRDefault="004F7E73" w:rsidP="004F7E73">
      <w:pPr>
        <w:spacing w:after="0"/>
        <w:rPr>
          <w:rFonts w:cs="Times New Roman"/>
          <w:b/>
          <w:sz w:val="24"/>
          <w:szCs w:val="24"/>
        </w:rPr>
      </w:pPr>
    </w:p>
    <w:p w:rsidR="00500DB7" w:rsidRPr="00625F8A" w:rsidRDefault="00500DB7" w:rsidP="00604D22">
      <w:pPr>
        <w:rPr>
          <w:sz w:val="24"/>
          <w:szCs w:val="24"/>
        </w:rPr>
      </w:pPr>
      <w:r w:rsidRPr="00625F8A">
        <w:rPr>
          <w:rFonts w:cs="Times New Roman"/>
          <w:b/>
          <w:sz w:val="24"/>
          <w:szCs w:val="24"/>
        </w:rPr>
        <w:t xml:space="preserve">System-level Performance </w:t>
      </w:r>
      <w:r w:rsidR="00493351" w:rsidRPr="00625F8A">
        <w:rPr>
          <w:rFonts w:cs="Times New Roman"/>
          <w:b/>
          <w:sz w:val="24"/>
          <w:szCs w:val="24"/>
        </w:rPr>
        <w:t>Monitoring</w:t>
      </w:r>
      <w:r w:rsidRPr="00625F8A">
        <w:rPr>
          <w:rFonts w:cs="Times New Roman"/>
          <w:b/>
          <w:sz w:val="24"/>
          <w:szCs w:val="24"/>
        </w:rPr>
        <w:t xml:space="preserve">- </w:t>
      </w:r>
      <w:r w:rsidR="008F1FC9" w:rsidRPr="00625F8A">
        <w:rPr>
          <w:sz w:val="24"/>
          <w:szCs w:val="24"/>
        </w:rPr>
        <w:t>S</w:t>
      </w:r>
      <w:r w:rsidR="009B1D0A" w:rsidRPr="00625F8A">
        <w:rPr>
          <w:sz w:val="24"/>
          <w:szCs w:val="24"/>
        </w:rPr>
        <w:t xml:space="preserve">ystem </w:t>
      </w:r>
      <w:r w:rsidR="008F1FC9" w:rsidRPr="00625F8A">
        <w:rPr>
          <w:sz w:val="24"/>
          <w:szCs w:val="24"/>
        </w:rPr>
        <w:t xml:space="preserve">wide performance measures currently include the following: </w:t>
      </w:r>
      <w:r w:rsidR="009B1D0A" w:rsidRPr="00625F8A">
        <w:rPr>
          <w:sz w:val="24"/>
          <w:szCs w:val="24"/>
        </w:rPr>
        <w:t>Length of Time Pers</w:t>
      </w:r>
      <w:r w:rsidR="008F1FC9" w:rsidRPr="00625F8A">
        <w:rPr>
          <w:sz w:val="24"/>
          <w:szCs w:val="24"/>
        </w:rPr>
        <w:t xml:space="preserve">ons Remain Homeless ; Returns to Homelessness; Number of Homeless Persons; </w:t>
      </w:r>
      <w:r w:rsidR="009B1D0A" w:rsidRPr="00625F8A">
        <w:rPr>
          <w:sz w:val="24"/>
          <w:szCs w:val="24"/>
        </w:rPr>
        <w:t>Employment and Income Growth for Hom</w:t>
      </w:r>
      <w:r w:rsidR="008F1FC9" w:rsidRPr="00625F8A">
        <w:rPr>
          <w:sz w:val="24"/>
          <w:szCs w:val="24"/>
        </w:rPr>
        <w:t xml:space="preserve">eless Persons in </w:t>
      </w:r>
      <w:proofErr w:type="spellStart"/>
      <w:r w:rsidR="008F1FC9" w:rsidRPr="00625F8A">
        <w:rPr>
          <w:sz w:val="24"/>
          <w:szCs w:val="24"/>
        </w:rPr>
        <w:t>CoC</w:t>
      </w:r>
      <w:proofErr w:type="spellEnd"/>
      <w:r w:rsidR="008F1FC9" w:rsidRPr="00625F8A">
        <w:rPr>
          <w:sz w:val="24"/>
          <w:szCs w:val="24"/>
        </w:rPr>
        <w:t xml:space="preserve"> projects; </w:t>
      </w:r>
      <w:r w:rsidR="009B1D0A" w:rsidRPr="00625F8A">
        <w:rPr>
          <w:sz w:val="24"/>
          <w:szCs w:val="24"/>
        </w:rPr>
        <w:t>Number of Persons who Beco</w:t>
      </w:r>
      <w:r w:rsidR="008F1FC9" w:rsidRPr="00625F8A">
        <w:rPr>
          <w:sz w:val="24"/>
          <w:szCs w:val="24"/>
        </w:rPr>
        <w:t xml:space="preserve">me Homeless for the First Time; </w:t>
      </w:r>
      <w:r w:rsidR="009B1D0A" w:rsidRPr="00625F8A">
        <w:rPr>
          <w:sz w:val="24"/>
          <w:szCs w:val="24"/>
        </w:rPr>
        <w:t xml:space="preserve"> Successful Placement from Street Outreach and successful Placement in or Retention of Permanent Housing</w:t>
      </w:r>
      <w:r w:rsidR="008F1FC9" w:rsidRPr="00625F8A">
        <w:rPr>
          <w:sz w:val="24"/>
          <w:szCs w:val="24"/>
        </w:rPr>
        <w:t>. The Steering Committee will review these system level performance measures at least annually with information provided by the HMIS Lead. The Steering Committee will consider other system-level performance measures.</w:t>
      </w:r>
    </w:p>
    <w:p w:rsidR="008F1FC9" w:rsidRPr="00625F8A" w:rsidRDefault="008F1FC9" w:rsidP="008F1FC9">
      <w:pPr>
        <w:rPr>
          <w:rFonts w:cs="Times New Roman"/>
          <w:sz w:val="24"/>
          <w:szCs w:val="24"/>
        </w:rPr>
      </w:pPr>
      <w:r w:rsidRPr="00625F8A">
        <w:rPr>
          <w:sz w:val="24"/>
          <w:szCs w:val="24"/>
        </w:rPr>
        <w:t xml:space="preserve">Another tool to review the performance of the Alliance is </w:t>
      </w:r>
      <w:r w:rsidRPr="00625F8A">
        <w:rPr>
          <w:rFonts w:cs="Times New Roman"/>
          <w:sz w:val="24"/>
          <w:szCs w:val="24"/>
        </w:rPr>
        <w:t>to add an annual report card of Alliance efforts and outcomes relative to strategic priorities. This annual report will be the responsibi</w:t>
      </w:r>
      <w:r w:rsidR="004F7E73" w:rsidRPr="00625F8A">
        <w:rPr>
          <w:rFonts w:cs="Times New Roman"/>
          <w:sz w:val="24"/>
          <w:szCs w:val="24"/>
        </w:rPr>
        <w:t xml:space="preserve">lity </w:t>
      </w:r>
      <w:r w:rsidR="004F7E73" w:rsidRPr="00625F8A">
        <w:rPr>
          <w:rFonts w:cs="Times New Roman"/>
          <w:sz w:val="24"/>
          <w:szCs w:val="24"/>
          <w:highlight w:val="yellow"/>
        </w:rPr>
        <w:t>of the Collaborative Applicant and ICA</w:t>
      </w:r>
      <w:r w:rsidRPr="00625F8A">
        <w:rPr>
          <w:rFonts w:cs="Times New Roman"/>
          <w:sz w:val="24"/>
          <w:szCs w:val="24"/>
          <w:highlight w:val="yellow"/>
        </w:rPr>
        <w:t>.</w:t>
      </w:r>
    </w:p>
    <w:p w:rsidR="00493351" w:rsidRPr="00625F8A" w:rsidRDefault="00493351" w:rsidP="00493351">
      <w:pPr>
        <w:rPr>
          <w:rFonts w:cs="Times New Roman"/>
          <w:sz w:val="24"/>
          <w:szCs w:val="24"/>
        </w:rPr>
      </w:pPr>
      <w:r w:rsidRPr="00625F8A">
        <w:rPr>
          <w:rFonts w:cs="Times New Roman"/>
          <w:sz w:val="24"/>
          <w:szCs w:val="24"/>
        </w:rPr>
        <w:t>In addition to reviewing data, performance, and outcomes, the Alliance needs to build agreement and formalize the ways we include and engage, as well as gather and utilize feedback from, the individuals, families and communities we seek to help.  Once there is general agreement, appropriate ways to track and evaluate the impact as well as the effectiveness, efficiency and appropriateness of efforts and activities will need to be developed and implemented. This can also include an annual satisfaction survey to members and community partners.</w:t>
      </w:r>
    </w:p>
    <w:p w:rsidR="00A12300" w:rsidRPr="00625F8A" w:rsidRDefault="00A12300" w:rsidP="00493351">
      <w:pPr>
        <w:rPr>
          <w:rFonts w:cs="Times New Roman"/>
          <w:sz w:val="24"/>
          <w:szCs w:val="24"/>
        </w:rPr>
      </w:pPr>
      <w:r w:rsidRPr="00625F8A">
        <w:rPr>
          <w:rFonts w:cs="Times New Roman"/>
          <w:sz w:val="24"/>
          <w:szCs w:val="24"/>
        </w:rPr>
        <w:t xml:space="preserve">The Alliance may also choose to use the results from existing data and enhanced data collected to organize an annual </w:t>
      </w:r>
      <w:proofErr w:type="spellStart"/>
      <w:r w:rsidRPr="00625F8A">
        <w:rPr>
          <w:rFonts w:cs="Times New Roman"/>
          <w:sz w:val="24"/>
          <w:szCs w:val="24"/>
        </w:rPr>
        <w:t>Datawalk</w:t>
      </w:r>
      <w:proofErr w:type="spellEnd"/>
      <w:r w:rsidRPr="00625F8A">
        <w:rPr>
          <w:rFonts w:cs="Times New Roman"/>
          <w:sz w:val="24"/>
          <w:szCs w:val="24"/>
        </w:rPr>
        <w:t xml:space="preserve"> at a Quarterly Meeting. This activity would be the </w:t>
      </w:r>
      <w:r w:rsidR="004F7E73" w:rsidRPr="00625F8A">
        <w:rPr>
          <w:rFonts w:cs="Times New Roman"/>
          <w:sz w:val="24"/>
          <w:szCs w:val="24"/>
        </w:rPr>
        <w:t xml:space="preserve">responsibility of the </w:t>
      </w:r>
      <w:r w:rsidR="004F7E73" w:rsidRPr="00625F8A">
        <w:rPr>
          <w:rFonts w:cs="Times New Roman"/>
          <w:sz w:val="24"/>
          <w:szCs w:val="24"/>
          <w:highlight w:val="yellow"/>
        </w:rPr>
        <w:t>Steering Committee or designee</w:t>
      </w:r>
      <w:r w:rsidRPr="00625F8A">
        <w:rPr>
          <w:rFonts w:cs="Times New Roman"/>
          <w:sz w:val="24"/>
          <w:szCs w:val="24"/>
        </w:rPr>
        <w:t xml:space="preserve"> and take place during the Winter Quarterly Meeting.</w:t>
      </w:r>
    </w:p>
    <w:p w:rsidR="00493351" w:rsidRPr="00625F8A" w:rsidRDefault="000D2072" w:rsidP="00493351">
      <w:pPr>
        <w:rPr>
          <w:rFonts w:cs="Times New Roman"/>
          <w:sz w:val="24"/>
          <w:szCs w:val="24"/>
        </w:rPr>
      </w:pPr>
      <w:r w:rsidRPr="00625F8A">
        <w:rPr>
          <w:rFonts w:cs="Times New Roman"/>
          <w:b/>
          <w:sz w:val="24"/>
          <w:szCs w:val="24"/>
        </w:rPr>
        <w:lastRenderedPageBreak/>
        <w:t>Coordinated Entry System</w:t>
      </w:r>
      <w:r w:rsidR="00493351" w:rsidRPr="00625F8A">
        <w:rPr>
          <w:rFonts w:cs="Times New Roman"/>
          <w:b/>
          <w:sz w:val="24"/>
          <w:szCs w:val="24"/>
        </w:rPr>
        <w:t xml:space="preserve"> Monitoring </w:t>
      </w:r>
      <w:r w:rsidRPr="00625F8A">
        <w:rPr>
          <w:rFonts w:cs="Times New Roman"/>
          <w:b/>
          <w:sz w:val="24"/>
          <w:szCs w:val="24"/>
        </w:rPr>
        <w:t>–</w:t>
      </w:r>
      <w:r w:rsidR="00493351" w:rsidRPr="00625F8A">
        <w:rPr>
          <w:rFonts w:cs="Times New Roman"/>
          <w:b/>
          <w:sz w:val="24"/>
          <w:szCs w:val="24"/>
        </w:rPr>
        <w:t xml:space="preserve"> </w:t>
      </w:r>
      <w:r w:rsidRPr="00625F8A">
        <w:rPr>
          <w:rFonts w:cs="Times New Roman"/>
          <w:sz w:val="24"/>
          <w:szCs w:val="24"/>
        </w:rPr>
        <w:t>In conjunction with the Coordinated Entry Subcommittee, a formal and annual evaluation and monitoring process will be developed and implemented. This process will include an interim and annual data report on agreed upon measurements, site visits to all agencies participating in the CES, and random file reviews as applicable.</w:t>
      </w:r>
    </w:p>
    <w:p w:rsidR="00862CC3" w:rsidRPr="00625F8A" w:rsidRDefault="00862CC3" w:rsidP="00493351">
      <w:pPr>
        <w:rPr>
          <w:rFonts w:cs="Times New Roman"/>
          <w:b/>
          <w:sz w:val="24"/>
          <w:szCs w:val="24"/>
        </w:rPr>
      </w:pPr>
      <w:r w:rsidRPr="00625F8A">
        <w:rPr>
          <w:rFonts w:cs="Times New Roman"/>
          <w:b/>
          <w:sz w:val="24"/>
          <w:szCs w:val="24"/>
        </w:rPr>
        <w:t>Proposed Timeline of Monitoring:</w:t>
      </w:r>
    </w:p>
    <w:p w:rsidR="006B1E45" w:rsidRPr="00625F8A" w:rsidRDefault="006B1E45" w:rsidP="006B1E45">
      <w:pPr>
        <w:ind w:left="720"/>
        <w:rPr>
          <w:rFonts w:cs="Times New Roman"/>
          <w:sz w:val="24"/>
          <w:szCs w:val="24"/>
        </w:rPr>
      </w:pPr>
      <w:r w:rsidRPr="00625F8A">
        <w:rPr>
          <w:rFonts w:cs="Times New Roman"/>
          <w:sz w:val="24"/>
          <w:szCs w:val="24"/>
        </w:rPr>
        <w:t>January – March</w:t>
      </w:r>
    </w:p>
    <w:p w:rsidR="006B1E45" w:rsidRPr="00625F8A" w:rsidRDefault="006B1E45" w:rsidP="006B1E45">
      <w:pPr>
        <w:numPr>
          <w:ilvl w:val="0"/>
          <w:numId w:val="7"/>
        </w:numPr>
        <w:contextualSpacing/>
        <w:rPr>
          <w:rFonts w:cs="Times New Roman"/>
          <w:sz w:val="24"/>
          <w:szCs w:val="24"/>
        </w:rPr>
      </w:pPr>
      <w:r w:rsidRPr="00625F8A">
        <w:rPr>
          <w:rFonts w:cs="Times New Roman"/>
          <w:sz w:val="24"/>
          <w:szCs w:val="24"/>
        </w:rPr>
        <w:t>Steering Committee conducts an annual satisfaction survey of Steering Committee members and other key community partners</w:t>
      </w:r>
    </w:p>
    <w:p w:rsidR="006B1E45" w:rsidRDefault="006B1E45" w:rsidP="006B1E45">
      <w:pPr>
        <w:numPr>
          <w:ilvl w:val="0"/>
          <w:numId w:val="7"/>
        </w:numPr>
        <w:contextualSpacing/>
        <w:rPr>
          <w:rFonts w:cs="Times New Roman"/>
          <w:sz w:val="24"/>
          <w:szCs w:val="24"/>
        </w:rPr>
      </w:pPr>
      <w:r w:rsidRPr="00625F8A">
        <w:rPr>
          <w:rFonts w:cs="Times New Roman"/>
          <w:sz w:val="24"/>
          <w:szCs w:val="24"/>
        </w:rPr>
        <w:t>Steering Committee conducts an annual evalu</w:t>
      </w:r>
      <w:r w:rsidR="003A4908" w:rsidRPr="00625F8A">
        <w:rPr>
          <w:rFonts w:cs="Times New Roman"/>
          <w:sz w:val="24"/>
          <w:szCs w:val="24"/>
        </w:rPr>
        <w:t>ation of the Coordinated Entry S</w:t>
      </w:r>
      <w:r w:rsidRPr="00625F8A">
        <w:rPr>
          <w:rFonts w:cs="Times New Roman"/>
          <w:sz w:val="24"/>
          <w:szCs w:val="24"/>
        </w:rPr>
        <w:t>ystem</w:t>
      </w:r>
    </w:p>
    <w:p w:rsidR="00625F8A" w:rsidRPr="00625F8A" w:rsidRDefault="00625F8A" w:rsidP="00625F8A">
      <w:pPr>
        <w:numPr>
          <w:ilvl w:val="0"/>
          <w:numId w:val="7"/>
        </w:numPr>
        <w:contextualSpacing/>
        <w:rPr>
          <w:rFonts w:cs="Times New Roman"/>
          <w:sz w:val="24"/>
          <w:szCs w:val="24"/>
        </w:rPr>
      </w:pPr>
      <w:r w:rsidRPr="00625F8A">
        <w:rPr>
          <w:rFonts w:cs="Times New Roman"/>
          <w:sz w:val="24"/>
          <w:szCs w:val="24"/>
        </w:rPr>
        <w:t xml:space="preserve">Collaborative Applicant begins desktop monitoring of </w:t>
      </w:r>
      <w:proofErr w:type="spellStart"/>
      <w:r w:rsidRPr="00625F8A">
        <w:rPr>
          <w:rFonts w:cs="Times New Roman"/>
          <w:sz w:val="24"/>
          <w:szCs w:val="24"/>
        </w:rPr>
        <w:t>CoC</w:t>
      </w:r>
      <w:proofErr w:type="spellEnd"/>
      <w:r w:rsidRPr="00625F8A">
        <w:rPr>
          <w:rFonts w:cs="Times New Roman"/>
          <w:sz w:val="24"/>
          <w:szCs w:val="24"/>
        </w:rPr>
        <w:t>-funded programs</w:t>
      </w:r>
    </w:p>
    <w:p w:rsidR="00625F8A" w:rsidRPr="00625F8A" w:rsidRDefault="00625F8A" w:rsidP="00625F8A">
      <w:pPr>
        <w:ind w:left="1080"/>
        <w:contextualSpacing/>
        <w:rPr>
          <w:rFonts w:cs="Times New Roman"/>
          <w:sz w:val="24"/>
          <w:szCs w:val="24"/>
        </w:rPr>
      </w:pPr>
    </w:p>
    <w:p w:rsidR="006B1E45" w:rsidRPr="00625F8A" w:rsidRDefault="006B1E45" w:rsidP="006B1E45">
      <w:pPr>
        <w:ind w:left="720"/>
        <w:rPr>
          <w:rFonts w:cs="Times New Roman"/>
          <w:sz w:val="24"/>
          <w:szCs w:val="24"/>
        </w:rPr>
      </w:pPr>
      <w:r w:rsidRPr="00625F8A">
        <w:rPr>
          <w:rFonts w:cs="Times New Roman"/>
          <w:sz w:val="24"/>
          <w:szCs w:val="24"/>
        </w:rPr>
        <w:t>April – June</w:t>
      </w:r>
    </w:p>
    <w:p w:rsidR="006B1E45" w:rsidRPr="00625F8A" w:rsidRDefault="006B1E45" w:rsidP="006B1E45">
      <w:pPr>
        <w:numPr>
          <w:ilvl w:val="0"/>
          <w:numId w:val="5"/>
        </w:numPr>
        <w:contextualSpacing/>
        <w:rPr>
          <w:rFonts w:cs="Times New Roman"/>
          <w:sz w:val="24"/>
          <w:szCs w:val="24"/>
        </w:rPr>
      </w:pPr>
      <w:r w:rsidRPr="00625F8A">
        <w:rPr>
          <w:rFonts w:cs="Times New Roman"/>
          <w:sz w:val="24"/>
          <w:szCs w:val="24"/>
        </w:rPr>
        <w:t>Alliance makes time during the monthly Steering Committee meetings for each program receiving HUD funds through the Collaborative Application process to provide a mid-year report on progress to date.</w:t>
      </w:r>
    </w:p>
    <w:p w:rsidR="006B1E45" w:rsidRPr="00625F8A" w:rsidRDefault="006B1E45" w:rsidP="006B1E45">
      <w:pPr>
        <w:numPr>
          <w:ilvl w:val="0"/>
          <w:numId w:val="5"/>
        </w:numPr>
        <w:contextualSpacing/>
        <w:rPr>
          <w:rFonts w:cs="Times New Roman"/>
          <w:sz w:val="24"/>
          <w:szCs w:val="24"/>
        </w:rPr>
      </w:pPr>
      <w:r w:rsidRPr="00625F8A">
        <w:rPr>
          <w:rFonts w:cs="Times New Roman"/>
          <w:sz w:val="24"/>
          <w:szCs w:val="24"/>
        </w:rPr>
        <w:t>Steering Committee provides input as needed and appropriate to the HOP application process</w:t>
      </w:r>
    </w:p>
    <w:p w:rsidR="006B1E45" w:rsidRPr="00625F8A" w:rsidRDefault="006B1E45" w:rsidP="006B1E45">
      <w:pPr>
        <w:numPr>
          <w:ilvl w:val="0"/>
          <w:numId w:val="5"/>
        </w:numPr>
        <w:contextualSpacing/>
        <w:rPr>
          <w:rFonts w:cs="Times New Roman"/>
          <w:sz w:val="24"/>
          <w:szCs w:val="24"/>
        </w:rPr>
      </w:pPr>
      <w:r w:rsidRPr="00625F8A">
        <w:rPr>
          <w:rFonts w:cs="Times New Roman"/>
          <w:sz w:val="24"/>
          <w:szCs w:val="24"/>
        </w:rPr>
        <w:t>Steering Committee reviews and adjusts strategic activities and priorities</w:t>
      </w:r>
    </w:p>
    <w:p w:rsidR="00A12300" w:rsidRPr="00625F8A" w:rsidRDefault="00A12300" w:rsidP="00A12300">
      <w:pPr>
        <w:ind w:left="1440"/>
        <w:contextualSpacing/>
        <w:rPr>
          <w:rFonts w:cs="Times New Roman"/>
          <w:sz w:val="24"/>
          <w:szCs w:val="24"/>
        </w:rPr>
      </w:pPr>
    </w:p>
    <w:p w:rsidR="006B1E45" w:rsidRPr="00625F8A" w:rsidRDefault="006B1E45" w:rsidP="006B1E45">
      <w:pPr>
        <w:ind w:left="720"/>
        <w:rPr>
          <w:rFonts w:cs="Times New Roman"/>
          <w:sz w:val="24"/>
          <w:szCs w:val="24"/>
        </w:rPr>
      </w:pPr>
      <w:r w:rsidRPr="00625F8A">
        <w:rPr>
          <w:rFonts w:cs="Times New Roman"/>
          <w:sz w:val="24"/>
          <w:szCs w:val="24"/>
        </w:rPr>
        <w:t>July – September</w:t>
      </w:r>
    </w:p>
    <w:p w:rsidR="006B1E45" w:rsidRPr="00625F8A" w:rsidRDefault="006B1E45" w:rsidP="006B1E45">
      <w:pPr>
        <w:numPr>
          <w:ilvl w:val="0"/>
          <w:numId w:val="5"/>
        </w:numPr>
        <w:contextualSpacing/>
        <w:rPr>
          <w:rFonts w:cs="Times New Roman"/>
          <w:sz w:val="24"/>
          <w:szCs w:val="24"/>
        </w:rPr>
      </w:pPr>
      <w:r w:rsidRPr="00625F8A">
        <w:rPr>
          <w:rFonts w:cs="Times New Roman"/>
          <w:sz w:val="24"/>
          <w:szCs w:val="24"/>
        </w:rPr>
        <w:t>Application Ranking Committee completes and Alliance confirms the Ranking and Prioritization process for HUD</w:t>
      </w:r>
    </w:p>
    <w:p w:rsidR="006B1E45" w:rsidRPr="00625F8A" w:rsidRDefault="007C7115" w:rsidP="006B1E45">
      <w:pPr>
        <w:numPr>
          <w:ilvl w:val="0"/>
          <w:numId w:val="5"/>
        </w:numPr>
        <w:contextualSpacing/>
        <w:rPr>
          <w:rFonts w:cs="Times New Roman"/>
          <w:sz w:val="24"/>
          <w:szCs w:val="24"/>
        </w:rPr>
      </w:pPr>
      <w:r w:rsidRPr="00625F8A">
        <w:rPr>
          <w:rFonts w:cs="Times New Roman"/>
          <w:sz w:val="24"/>
          <w:szCs w:val="24"/>
        </w:rPr>
        <w:t>Sub-</w:t>
      </w:r>
      <w:r w:rsidR="007F2F7F" w:rsidRPr="00625F8A">
        <w:rPr>
          <w:rFonts w:cs="Times New Roman"/>
          <w:sz w:val="24"/>
          <w:szCs w:val="24"/>
        </w:rPr>
        <w:t>committee of Steering</w:t>
      </w:r>
      <w:r w:rsidRPr="00625F8A">
        <w:rPr>
          <w:rFonts w:cs="Times New Roman"/>
          <w:sz w:val="24"/>
          <w:szCs w:val="24"/>
        </w:rPr>
        <w:t xml:space="preserve"> </w:t>
      </w:r>
      <w:r w:rsidR="006B1E45" w:rsidRPr="00625F8A">
        <w:rPr>
          <w:rFonts w:cs="Times New Roman"/>
          <w:sz w:val="24"/>
          <w:szCs w:val="24"/>
        </w:rPr>
        <w:t>Committee conducts site visits to all partners in the Coordinated Entry System</w:t>
      </w:r>
    </w:p>
    <w:p w:rsidR="006B1E45" w:rsidRPr="00625F8A" w:rsidRDefault="006B1E45" w:rsidP="006B1E45">
      <w:pPr>
        <w:ind w:left="720"/>
        <w:rPr>
          <w:rFonts w:cs="Times New Roman"/>
          <w:sz w:val="24"/>
          <w:szCs w:val="24"/>
        </w:rPr>
      </w:pPr>
      <w:r w:rsidRPr="00625F8A">
        <w:rPr>
          <w:rFonts w:cs="Times New Roman"/>
          <w:sz w:val="24"/>
          <w:szCs w:val="24"/>
        </w:rPr>
        <w:t>October – December</w:t>
      </w:r>
    </w:p>
    <w:p w:rsidR="006B1E45" w:rsidRPr="00625F8A" w:rsidRDefault="006B1E45" w:rsidP="006B1E45">
      <w:pPr>
        <w:numPr>
          <w:ilvl w:val="0"/>
          <w:numId w:val="5"/>
        </w:numPr>
        <w:contextualSpacing/>
        <w:rPr>
          <w:rFonts w:cs="Times New Roman"/>
          <w:sz w:val="24"/>
          <w:szCs w:val="24"/>
        </w:rPr>
      </w:pPr>
      <w:r w:rsidRPr="00625F8A">
        <w:rPr>
          <w:rFonts w:cs="Times New Roman"/>
          <w:sz w:val="24"/>
          <w:szCs w:val="24"/>
        </w:rPr>
        <w:t xml:space="preserve">Sub-committee of Steering Committee conducts site visits to all </w:t>
      </w:r>
      <w:proofErr w:type="spellStart"/>
      <w:r w:rsidRPr="00625F8A">
        <w:rPr>
          <w:rFonts w:cs="Times New Roman"/>
          <w:sz w:val="24"/>
          <w:szCs w:val="24"/>
        </w:rPr>
        <w:t>CoC</w:t>
      </w:r>
      <w:proofErr w:type="spellEnd"/>
      <w:r w:rsidRPr="00625F8A">
        <w:rPr>
          <w:rFonts w:cs="Times New Roman"/>
          <w:sz w:val="24"/>
          <w:szCs w:val="24"/>
        </w:rPr>
        <w:t>-funded programs</w:t>
      </w:r>
    </w:p>
    <w:p w:rsidR="000E694C" w:rsidRDefault="006B1E45" w:rsidP="000E694C">
      <w:pPr>
        <w:numPr>
          <w:ilvl w:val="0"/>
          <w:numId w:val="5"/>
        </w:numPr>
        <w:contextualSpacing/>
        <w:rPr>
          <w:rFonts w:cs="Times New Roman"/>
          <w:sz w:val="24"/>
          <w:szCs w:val="24"/>
        </w:rPr>
      </w:pPr>
      <w:r w:rsidRPr="00625F8A">
        <w:rPr>
          <w:rFonts w:cs="Times New Roman"/>
          <w:sz w:val="24"/>
          <w:szCs w:val="24"/>
        </w:rPr>
        <w:t xml:space="preserve">Sub-committee of Steering Committee is available to conduct site visits to additional partner organizations as needed and appropriate   </w:t>
      </w:r>
    </w:p>
    <w:p w:rsidR="00F1163F" w:rsidRDefault="00F1163F" w:rsidP="00F1163F">
      <w:pPr>
        <w:ind w:left="1440"/>
        <w:contextualSpacing/>
        <w:rPr>
          <w:rFonts w:cs="Times New Roman"/>
          <w:sz w:val="24"/>
          <w:szCs w:val="24"/>
        </w:rPr>
      </w:pPr>
    </w:p>
    <w:p w:rsidR="003560D9" w:rsidRPr="003560D9" w:rsidRDefault="003560D9" w:rsidP="003560D9">
      <w:pPr>
        <w:rPr>
          <w:b/>
          <w:sz w:val="24"/>
          <w:szCs w:val="24"/>
        </w:rPr>
      </w:pPr>
      <w:r w:rsidRPr="003560D9">
        <w:rPr>
          <w:b/>
          <w:sz w:val="24"/>
          <w:szCs w:val="24"/>
        </w:rPr>
        <w:t>Findings, Concerns &amp; Noncompliance</w:t>
      </w:r>
    </w:p>
    <w:p w:rsidR="003560D9" w:rsidRPr="003560D9" w:rsidRDefault="003560D9" w:rsidP="003560D9">
      <w:pPr>
        <w:rPr>
          <w:rFonts w:eastAsia="Times New Roman"/>
          <w:i/>
          <w:sz w:val="24"/>
          <w:szCs w:val="24"/>
        </w:rPr>
      </w:pPr>
      <w:r w:rsidRPr="003560D9">
        <w:rPr>
          <w:i/>
          <w:sz w:val="24"/>
          <w:szCs w:val="24"/>
        </w:rPr>
        <w:t xml:space="preserve"> Findings</w:t>
      </w:r>
      <w:r w:rsidRPr="003560D9">
        <w:rPr>
          <w:rFonts w:eastAsia="Times New Roman"/>
          <w:i/>
          <w:sz w:val="24"/>
          <w:szCs w:val="24"/>
        </w:rPr>
        <w:t xml:space="preserve"> </w:t>
      </w:r>
    </w:p>
    <w:p w:rsidR="003560D9" w:rsidRPr="003560D9" w:rsidRDefault="003560D9" w:rsidP="003560D9">
      <w:pPr>
        <w:rPr>
          <w:rFonts w:eastAsia="Times New Roman"/>
          <w:i/>
          <w:sz w:val="24"/>
          <w:szCs w:val="24"/>
        </w:rPr>
      </w:pPr>
      <w:r w:rsidRPr="003560D9">
        <w:rPr>
          <w:rFonts w:eastAsia="Times New Roman"/>
          <w:sz w:val="24"/>
          <w:szCs w:val="24"/>
        </w:rPr>
        <w:t>Where an identified deficiency results in a finding of non</w:t>
      </w:r>
      <w:r w:rsidRPr="003560D9">
        <w:rPr>
          <w:rFonts w:eastAsia="Times New Roman" w:cs="Cambria Math"/>
          <w:sz w:val="24"/>
          <w:szCs w:val="24"/>
        </w:rPr>
        <w:t>‐</w:t>
      </w:r>
      <w:r w:rsidRPr="003560D9">
        <w:rPr>
          <w:rFonts w:eastAsia="Times New Roman"/>
          <w:sz w:val="24"/>
          <w:szCs w:val="24"/>
        </w:rPr>
        <w:t xml:space="preserve">compliance with </w:t>
      </w:r>
      <w:proofErr w:type="spellStart"/>
      <w:r w:rsidRPr="003560D9">
        <w:rPr>
          <w:rFonts w:eastAsia="Times New Roman"/>
          <w:sz w:val="24"/>
          <w:szCs w:val="24"/>
        </w:rPr>
        <w:t>CoC</w:t>
      </w:r>
      <w:proofErr w:type="spellEnd"/>
      <w:r w:rsidRPr="003560D9">
        <w:rPr>
          <w:rFonts w:eastAsia="Times New Roman"/>
          <w:sz w:val="24"/>
          <w:szCs w:val="24"/>
        </w:rPr>
        <w:t xml:space="preserve"> rules, the finding must include the condition, criteria, cause, effect, and required corrective action.    </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r w:rsidRPr="003560D9">
        <w:rPr>
          <w:rFonts w:eastAsia="Times New Roman"/>
          <w:sz w:val="24"/>
          <w:szCs w:val="24"/>
        </w:rPr>
        <w:lastRenderedPageBreak/>
        <w:t xml:space="preserve">a. The condition describes what was wrong or what the problem was. </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r w:rsidRPr="003560D9">
        <w:rPr>
          <w:rFonts w:eastAsia="Times New Roman"/>
          <w:sz w:val="24"/>
          <w:szCs w:val="24"/>
        </w:rPr>
        <w:t xml:space="preserve">b. The criteria cite the regulatory or statutory requirements that were not met. </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r w:rsidRPr="003560D9">
        <w:rPr>
          <w:rFonts w:eastAsia="Times New Roman"/>
          <w:sz w:val="24"/>
          <w:szCs w:val="24"/>
        </w:rPr>
        <w:t xml:space="preserve">c. The cause explains why the condition occurred. </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r w:rsidRPr="003560D9">
        <w:rPr>
          <w:rFonts w:eastAsia="Times New Roman"/>
          <w:sz w:val="24"/>
          <w:szCs w:val="24"/>
        </w:rPr>
        <w:t xml:space="preserve">d. The effect describes what happened because of the condition. </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r w:rsidRPr="003560D9">
        <w:rPr>
          <w:rFonts w:eastAsia="Times New Roman"/>
          <w:sz w:val="24"/>
          <w:szCs w:val="24"/>
        </w:rPr>
        <w:t xml:space="preserve">e. The corrective action identifies the action(s) needed to resolve the problem and, unless inapplicable or there are extenuating circumstances, should include the time frame by which the grantee is to respond to the finding. </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p>
    <w:p w:rsidR="003560D9" w:rsidRPr="003560D9" w:rsidRDefault="003560D9" w:rsidP="003560D9">
      <w:pPr>
        <w:widowControl w:val="0"/>
        <w:overflowPunct w:val="0"/>
        <w:autoSpaceDE w:val="0"/>
        <w:autoSpaceDN w:val="0"/>
        <w:adjustRightInd w:val="0"/>
        <w:spacing w:after="0" w:line="240" w:lineRule="auto"/>
        <w:rPr>
          <w:rFonts w:eastAsia="Times New Roman"/>
          <w:sz w:val="24"/>
          <w:szCs w:val="24"/>
        </w:rPr>
      </w:pPr>
      <w:r w:rsidRPr="003560D9">
        <w:rPr>
          <w:rFonts w:eastAsia="Times New Roman"/>
          <w:sz w:val="24"/>
          <w:szCs w:val="24"/>
        </w:rPr>
        <w:t>The monitoring letter should also provide timelines for response and corrections.</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p>
    <w:p w:rsidR="003560D9" w:rsidRPr="003560D9" w:rsidRDefault="003560D9" w:rsidP="003560D9">
      <w:pPr>
        <w:rPr>
          <w:i/>
          <w:sz w:val="24"/>
          <w:szCs w:val="24"/>
        </w:rPr>
      </w:pPr>
      <w:r w:rsidRPr="003560D9">
        <w:rPr>
          <w:i/>
          <w:sz w:val="24"/>
          <w:szCs w:val="24"/>
        </w:rPr>
        <w:t xml:space="preserve">    Concerns </w:t>
      </w:r>
    </w:p>
    <w:p w:rsidR="003560D9" w:rsidRPr="003560D9" w:rsidRDefault="003560D9" w:rsidP="003560D9">
      <w:pPr>
        <w:widowControl w:val="0"/>
        <w:overflowPunct w:val="0"/>
        <w:autoSpaceDE w:val="0"/>
        <w:autoSpaceDN w:val="0"/>
        <w:adjustRightInd w:val="0"/>
        <w:spacing w:after="0" w:line="240" w:lineRule="auto"/>
        <w:rPr>
          <w:rFonts w:eastAsia="Times New Roman"/>
          <w:sz w:val="24"/>
          <w:szCs w:val="24"/>
        </w:rPr>
      </w:pPr>
      <w:r w:rsidRPr="003560D9">
        <w:rPr>
          <w:rFonts w:eastAsia="Times New Roman"/>
          <w:sz w:val="24"/>
          <w:szCs w:val="24"/>
        </w:rPr>
        <w:t xml:space="preserve">Monitoring concerns brought to the grantee’s attention should include the condition, cause, and effect as described above.  The reviewer should suggest or recommend actions that the grantee may take to address a concern, based on sound management principles or other guidelines. However, corrective actions are not required for concerns. </w:t>
      </w:r>
    </w:p>
    <w:p w:rsidR="003560D9" w:rsidRPr="003560D9" w:rsidRDefault="003560D9" w:rsidP="003560D9">
      <w:pPr>
        <w:widowControl w:val="0"/>
        <w:overflowPunct w:val="0"/>
        <w:autoSpaceDE w:val="0"/>
        <w:autoSpaceDN w:val="0"/>
        <w:adjustRightInd w:val="0"/>
        <w:spacing w:after="0" w:line="240" w:lineRule="auto"/>
        <w:ind w:left="720"/>
        <w:rPr>
          <w:rFonts w:eastAsia="Times New Roman"/>
          <w:sz w:val="24"/>
          <w:szCs w:val="24"/>
        </w:rPr>
      </w:pPr>
    </w:p>
    <w:p w:rsidR="003560D9" w:rsidRPr="003560D9" w:rsidRDefault="003560D9" w:rsidP="003560D9">
      <w:pPr>
        <w:rPr>
          <w:rFonts w:eastAsia="Times New Roman"/>
          <w:i/>
          <w:sz w:val="24"/>
          <w:szCs w:val="24"/>
        </w:rPr>
      </w:pPr>
      <w:r w:rsidRPr="003560D9">
        <w:rPr>
          <w:i/>
          <w:sz w:val="24"/>
          <w:szCs w:val="24"/>
        </w:rPr>
        <w:t xml:space="preserve">    Actions for Non</w:t>
      </w:r>
      <w:r w:rsidRPr="003560D9">
        <w:rPr>
          <w:rFonts w:cs="Cambria Math"/>
          <w:i/>
          <w:sz w:val="24"/>
          <w:szCs w:val="24"/>
        </w:rPr>
        <w:t>‐</w:t>
      </w:r>
      <w:r w:rsidRPr="003560D9">
        <w:rPr>
          <w:i/>
          <w:sz w:val="24"/>
          <w:szCs w:val="24"/>
        </w:rPr>
        <w:t>Compliance</w:t>
      </w:r>
      <w:r w:rsidRPr="003560D9">
        <w:rPr>
          <w:rFonts w:eastAsia="Times New Roman"/>
          <w:i/>
          <w:sz w:val="24"/>
          <w:szCs w:val="24"/>
        </w:rPr>
        <w:t xml:space="preserve"> </w:t>
      </w:r>
    </w:p>
    <w:p w:rsidR="003560D9" w:rsidRPr="003560D9" w:rsidRDefault="003560D9" w:rsidP="003560D9">
      <w:pPr>
        <w:widowControl w:val="0"/>
        <w:overflowPunct w:val="0"/>
        <w:autoSpaceDE w:val="0"/>
        <w:autoSpaceDN w:val="0"/>
        <w:adjustRightInd w:val="0"/>
        <w:spacing w:after="0" w:line="240" w:lineRule="auto"/>
        <w:rPr>
          <w:rFonts w:eastAsia="Times New Roman"/>
          <w:sz w:val="24"/>
          <w:szCs w:val="24"/>
        </w:rPr>
      </w:pPr>
      <w:r w:rsidRPr="003560D9">
        <w:rPr>
          <w:rFonts w:eastAsia="Times New Roman"/>
          <w:sz w:val="24"/>
          <w:szCs w:val="24"/>
        </w:rPr>
        <w:t>Grantees who are found to be in non</w:t>
      </w:r>
      <w:r w:rsidRPr="003560D9">
        <w:rPr>
          <w:rFonts w:eastAsia="Times New Roman" w:cs="Cambria Math"/>
          <w:sz w:val="24"/>
          <w:szCs w:val="24"/>
        </w:rPr>
        <w:t>‐</w:t>
      </w:r>
      <w:r w:rsidRPr="003560D9">
        <w:rPr>
          <w:rFonts w:eastAsia="Times New Roman"/>
          <w:sz w:val="24"/>
          <w:szCs w:val="24"/>
        </w:rPr>
        <w:t xml:space="preserve">compliance and receive a finding as a result of their monitoring will be provided with technical assistance towards resolution and improvement. It is the general policy of CCHA to allow at least one full grant cycle for resolution and improvement before any changes to funding are recommended. </w:t>
      </w:r>
      <w:r w:rsidR="00406C76">
        <w:rPr>
          <w:rFonts w:eastAsia="Times New Roman"/>
          <w:sz w:val="24"/>
          <w:szCs w:val="24"/>
        </w:rPr>
        <w:t>Requested c</w:t>
      </w:r>
      <w:r w:rsidR="006D0444">
        <w:rPr>
          <w:rFonts w:eastAsia="Times New Roman"/>
          <w:sz w:val="24"/>
          <w:szCs w:val="24"/>
        </w:rPr>
        <w:t>hanges in policies or practice would have a timeline</w:t>
      </w:r>
      <w:r w:rsidR="00406C76">
        <w:rPr>
          <w:rFonts w:eastAsia="Times New Roman"/>
          <w:sz w:val="24"/>
          <w:szCs w:val="24"/>
        </w:rPr>
        <w:t xml:space="preserve"> of implementation and response </w:t>
      </w:r>
      <w:r w:rsidR="006D0444">
        <w:rPr>
          <w:rFonts w:eastAsia="Times New Roman"/>
          <w:sz w:val="24"/>
          <w:szCs w:val="24"/>
        </w:rPr>
        <w:t>between 30 and 60 days.</w:t>
      </w:r>
      <w:r w:rsidR="00C11B1E">
        <w:rPr>
          <w:rFonts w:eastAsia="Times New Roman"/>
          <w:sz w:val="24"/>
          <w:szCs w:val="24"/>
        </w:rPr>
        <w:t xml:space="preserve"> Unresolved findings or findings which may jeopardize future funding will be shared with CCHA’s Steering Committee.</w:t>
      </w:r>
    </w:p>
    <w:p w:rsidR="000E694C" w:rsidRPr="00625F8A" w:rsidRDefault="000E694C" w:rsidP="000E694C">
      <w:pPr>
        <w:contextualSpacing/>
        <w:rPr>
          <w:rFonts w:cs="Times New Roman"/>
          <w:sz w:val="24"/>
          <w:szCs w:val="24"/>
        </w:rPr>
      </w:pPr>
    </w:p>
    <w:p w:rsidR="000E694C" w:rsidRPr="00625F8A" w:rsidRDefault="000E694C" w:rsidP="000E694C">
      <w:pPr>
        <w:contextualSpacing/>
        <w:rPr>
          <w:rFonts w:cs="Times New Roman"/>
          <w:b/>
          <w:sz w:val="24"/>
          <w:szCs w:val="24"/>
        </w:rPr>
      </w:pPr>
      <w:r w:rsidRPr="00625F8A">
        <w:rPr>
          <w:rFonts w:cs="Times New Roman"/>
          <w:b/>
          <w:sz w:val="24"/>
          <w:szCs w:val="24"/>
        </w:rPr>
        <w:t>Roles and Responsibilities:</w:t>
      </w:r>
    </w:p>
    <w:p w:rsidR="000E694C" w:rsidRPr="00625F8A" w:rsidRDefault="000E694C" w:rsidP="000E694C">
      <w:pPr>
        <w:contextualSpacing/>
        <w:rPr>
          <w:rFonts w:cs="Times New Roman"/>
          <w:sz w:val="24"/>
          <w:szCs w:val="24"/>
        </w:rPr>
      </w:pPr>
      <w:r w:rsidRPr="00625F8A">
        <w:rPr>
          <w:rFonts w:cs="Times New Roman"/>
          <w:i/>
          <w:sz w:val="24"/>
          <w:szCs w:val="24"/>
        </w:rPr>
        <w:t>Steering Committee</w:t>
      </w:r>
      <w:r w:rsidR="007B0110" w:rsidRPr="00625F8A">
        <w:rPr>
          <w:rFonts w:cs="Times New Roman"/>
          <w:sz w:val="24"/>
          <w:szCs w:val="24"/>
        </w:rPr>
        <w:t xml:space="preserve">: </w:t>
      </w:r>
      <w:r w:rsidR="007C7115" w:rsidRPr="00625F8A">
        <w:rPr>
          <w:rFonts w:cs="Times New Roman"/>
          <w:sz w:val="24"/>
          <w:szCs w:val="24"/>
        </w:rPr>
        <w:t xml:space="preserve"> The overall responsibility for the monitoring of grantees receiving </w:t>
      </w:r>
      <w:proofErr w:type="spellStart"/>
      <w:r w:rsidR="007C7115" w:rsidRPr="00625F8A">
        <w:rPr>
          <w:rFonts w:cs="Times New Roman"/>
          <w:sz w:val="24"/>
          <w:szCs w:val="24"/>
        </w:rPr>
        <w:t>CoC</w:t>
      </w:r>
      <w:proofErr w:type="spellEnd"/>
      <w:r w:rsidR="007C7115" w:rsidRPr="00625F8A">
        <w:rPr>
          <w:rFonts w:cs="Times New Roman"/>
          <w:sz w:val="24"/>
          <w:szCs w:val="24"/>
        </w:rPr>
        <w:t>/ESG funds</w:t>
      </w:r>
      <w:r w:rsidR="00461C89" w:rsidRPr="00625F8A">
        <w:rPr>
          <w:rFonts w:cs="Times New Roman"/>
          <w:sz w:val="24"/>
          <w:szCs w:val="24"/>
        </w:rPr>
        <w:t xml:space="preserve"> remains with the Steering Committee of the Chittenden County Hom</w:t>
      </w:r>
      <w:r w:rsidR="00BA5567" w:rsidRPr="00625F8A">
        <w:rPr>
          <w:rFonts w:cs="Times New Roman"/>
          <w:sz w:val="24"/>
          <w:szCs w:val="24"/>
        </w:rPr>
        <w:t>eless Alliance</w:t>
      </w:r>
      <w:r w:rsidR="00461C89" w:rsidRPr="00625F8A">
        <w:rPr>
          <w:rFonts w:cs="Times New Roman"/>
          <w:sz w:val="24"/>
          <w:szCs w:val="24"/>
        </w:rPr>
        <w:t>. The specific responsibilities as outlined in this policy include: conducting an annual satisfaction survey and evaluation of the Coordinated Entry System; hearing presentations by grantees during summer</w:t>
      </w:r>
      <w:r w:rsidR="00BA5567" w:rsidRPr="00625F8A">
        <w:rPr>
          <w:rFonts w:cs="Times New Roman"/>
          <w:sz w:val="24"/>
          <w:szCs w:val="24"/>
        </w:rPr>
        <w:t xml:space="preserve"> months at Steering Committee m</w:t>
      </w:r>
      <w:r w:rsidR="00461C89" w:rsidRPr="00625F8A">
        <w:rPr>
          <w:rFonts w:cs="Times New Roman"/>
          <w:sz w:val="24"/>
          <w:szCs w:val="24"/>
        </w:rPr>
        <w:t xml:space="preserve">eetings, providing input into the HOP application process and final review of </w:t>
      </w:r>
      <w:r w:rsidR="00926E9A" w:rsidRPr="00625F8A">
        <w:rPr>
          <w:rFonts w:cs="Times New Roman"/>
          <w:sz w:val="24"/>
          <w:szCs w:val="24"/>
        </w:rPr>
        <w:t xml:space="preserve">the ranking and prioritization of </w:t>
      </w:r>
      <w:proofErr w:type="spellStart"/>
      <w:r w:rsidR="00926E9A" w:rsidRPr="00625F8A">
        <w:rPr>
          <w:rFonts w:cs="Times New Roman"/>
          <w:sz w:val="24"/>
          <w:szCs w:val="24"/>
        </w:rPr>
        <w:t>CoC</w:t>
      </w:r>
      <w:proofErr w:type="spellEnd"/>
      <w:r w:rsidR="00926E9A" w:rsidRPr="00625F8A">
        <w:rPr>
          <w:rFonts w:cs="Times New Roman"/>
          <w:sz w:val="24"/>
          <w:szCs w:val="24"/>
        </w:rPr>
        <w:t>-funded projects.</w:t>
      </w:r>
      <w:r w:rsidR="00BA5567" w:rsidRPr="00625F8A">
        <w:rPr>
          <w:rFonts w:cs="Times New Roman"/>
          <w:sz w:val="24"/>
          <w:szCs w:val="24"/>
        </w:rPr>
        <w:t xml:space="preserve"> The Steering Committee may d</w:t>
      </w:r>
      <w:r w:rsidR="00F1163F">
        <w:rPr>
          <w:rFonts w:cs="Times New Roman"/>
          <w:sz w:val="24"/>
          <w:szCs w:val="24"/>
        </w:rPr>
        <w:t xml:space="preserve">esignate a sub-committee or an </w:t>
      </w:r>
      <w:r w:rsidR="00BA5567" w:rsidRPr="00625F8A">
        <w:rPr>
          <w:rFonts w:cs="Times New Roman"/>
          <w:sz w:val="24"/>
          <w:szCs w:val="24"/>
        </w:rPr>
        <w:t>ad-hoc committee to do any of the previously mentioned responsibilities.</w:t>
      </w:r>
    </w:p>
    <w:p w:rsidR="00BA5567" w:rsidRPr="00625F8A" w:rsidRDefault="00BA5567" w:rsidP="000E694C">
      <w:pPr>
        <w:contextualSpacing/>
        <w:rPr>
          <w:rFonts w:cs="Times New Roman"/>
          <w:sz w:val="24"/>
          <w:szCs w:val="24"/>
        </w:rPr>
      </w:pPr>
    </w:p>
    <w:p w:rsidR="000E694C" w:rsidRPr="00625F8A" w:rsidRDefault="000E694C" w:rsidP="000E694C">
      <w:pPr>
        <w:contextualSpacing/>
        <w:rPr>
          <w:rFonts w:cs="Times New Roman"/>
          <w:sz w:val="24"/>
          <w:szCs w:val="24"/>
        </w:rPr>
      </w:pPr>
      <w:r w:rsidRPr="00625F8A">
        <w:rPr>
          <w:rFonts w:cs="Times New Roman"/>
          <w:i/>
          <w:sz w:val="24"/>
          <w:szCs w:val="24"/>
        </w:rPr>
        <w:t>Application Ranking Committee</w:t>
      </w:r>
      <w:r w:rsidR="00BA5567" w:rsidRPr="00625F8A">
        <w:rPr>
          <w:rFonts w:cs="Times New Roman"/>
          <w:i/>
          <w:sz w:val="24"/>
          <w:szCs w:val="24"/>
        </w:rPr>
        <w:t xml:space="preserve"> </w:t>
      </w:r>
      <w:r w:rsidR="00BA5567" w:rsidRPr="00625F8A">
        <w:rPr>
          <w:rFonts w:cs="Times New Roman"/>
          <w:sz w:val="24"/>
          <w:szCs w:val="24"/>
        </w:rPr>
        <w:t xml:space="preserve">is provided with information about the performance of funded programs in HUD required measures. Along with this information, this committee is responsible to review project applications and propose funding and ranking to the Steering Committee. In addition, the Committee along with the Collaborative Applicant will conducts site visits to programs who receive </w:t>
      </w:r>
      <w:proofErr w:type="spellStart"/>
      <w:r w:rsidR="00BA5567" w:rsidRPr="00625F8A">
        <w:rPr>
          <w:rFonts w:cs="Times New Roman"/>
          <w:sz w:val="24"/>
          <w:szCs w:val="24"/>
        </w:rPr>
        <w:t>CoC</w:t>
      </w:r>
      <w:proofErr w:type="spellEnd"/>
      <w:r w:rsidR="00BA5567" w:rsidRPr="00625F8A">
        <w:rPr>
          <w:rFonts w:cs="Times New Roman"/>
          <w:sz w:val="24"/>
          <w:szCs w:val="24"/>
        </w:rPr>
        <w:t xml:space="preserve"> funding at least every three years or when the risk assessment warrants an on-site visit.</w:t>
      </w:r>
    </w:p>
    <w:p w:rsidR="00BA5567" w:rsidRPr="00625F8A" w:rsidRDefault="00BA5567" w:rsidP="000E694C">
      <w:pPr>
        <w:contextualSpacing/>
        <w:rPr>
          <w:rFonts w:cs="Times New Roman"/>
          <w:sz w:val="24"/>
          <w:szCs w:val="24"/>
        </w:rPr>
      </w:pPr>
    </w:p>
    <w:p w:rsidR="000E694C" w:rsidRPr="00F1163F" w:rsidRDefault="000E694C" w:rsidP="000E694C">
      <w:pPr>
        <w:contextualSpacing/>
        <w:rPr>
          <w:rFonts w:cs="Times New Roman"/>
          <w:sz w:val="24"/>
          <w:szCs w:val="24"/>
        </w:rPr>
      </w:pPr>
      <w:r w:rsidRPr="00625F8A">
        <w:rPr>
          <w:rFonts w:cs="Times New Roman"/>
          <w:i/>
          <w:sz w:val="24"/>
          <w:szCs w:val="24"/>
        </w:rPr>
        <w:t>Collaborative Applicant</w:t>
      </w:r>
      <w:r w:rsidR="00F1163F">
        <w:rPr>
          <w:rFonts w:cs="Times New Roman"/>
          <w:i/>
          <w:sz w:val="24"/>
          <w:szCs w:val="24"/>
        </w:rPr>
        <w:t xml:space="preserve">’s </w:t>
      </w:r>
      <w:r w:rsidR="00F1163F">
        <w:rPr>
          <w:rFonts w:cs="Times New Roman"/>
          <w:sz w:val="24"/>
          <w:szCs w:val="24"/>
        </w:rPr>
        <w:t>prime responsibility is to assemble CCHA’s consolidated application and ranking of projects annually. As such, the Collaborative Applicant will also take the lead on desktop monitoring, working with the HMIS Lead Agency to provide data for the Application Ranking Committee as well as for the annual report card. Finally, the Collaborative Applicant will coordina</w:t>
      </w:r>
      <w:r w:rsidR="00086ED0">
        <w:rPr>
          <w:rFonts w:cs="Times New Roman"/>
          <w:sz w:val="24"/>
          <w:szCs w:val="24"/>
        </w:rPr>
        <w:t xml:space="preserve">te both the risk assessment, </w:t>
      </w:r>
      <w:r w:rsidR="00F1163F">
        <w:rPr>
          <w:rFonts w:cs="Times New Roman"/>
          <w:sz w:val="24"/>
          <w:szCs w:val="24"/>
        </w:rPr>
        <w:t>schedu</w:t>
      </w:r>
      <w:r w:rsidR="00086ED0">
        <w:rPr>
          <w:rFonts w:cs="Times New Roman"/>
          <w:sz w:val="24"/>
          <w:szCs w:val="24"/>
        </w:rPr>
        <w:t>ling of site visits to grantees and follow-up monitoring letter.</w:t>
      </w:r>
    </w:p>
    <w:p w:rsidR="00CB48F3" w:rsidRPr="00625F8A" w:rsidRDefault="00CB48F3" w:rsidP="000E694C">
      <w:pPr>
        <w:contextualSpacing/>
        <w:rPr>
          <w:rFonts w:cs="Times New Roman"/>
          <w:i/>
          <w:sz w:val="24"/>
          <w:szCs w:val="24"/>
        </w:rPr>
      </w:pPr>
    </w:p>
    <w:p w:rsidR="000E694C" w:rsidRPr="00F1163F" w:rsidRDefault="000E694C" w:rsidP="000E694C">
      <w:pPr>
        <w:contextualSpacing/>
        <w:rPr>
          <w:rFonts w:cs="Times New Roman"/>
          <w:sz w:val="24"/>
          <w:szCs w:val="24"/>
        </w:rPr>
      </w:pPr>
      <w:r w:rsidRPr="00625F8A">
        <w:rPr>
          <w:rFonts w:cs="Times New Roman"/>
          <w:i/>
          <w:sz w:val="24"/>
          <w:szCs w:val="24"/>
        </w:rPr>
        <w:t>Grantee</w:t>
      </w:r>
      <w:r w:rsidR="00F1163F">
        <w:rPr>
          <w:rFonts w:cs="Times New Roman"/>
          <w:i/>
          <w:sz w:val="24"/>
          <w:szCs w:val="24"/>
        </w:rPr>
        <w:t xml:space="preserve">s </w:t>
      </w:r>
      <w:r w:rsidR="00F1163F">
        <w:rPr>
          <w:rFonts w:cs="Times New Roman"/>
          <w:sz w:val="24"/>
          <w:szCs w:val="24"/>
        </w:rPr>
        <w:t xml:space="preserve">will be responsible to present on the progress of their </w:t>
      </w:r>
      <w:proofErr w:type="spellStart"/>
      <w:r w:rsidR="00F1163F">
        <w:rPr>
          <w:rFonts w:cs="Times New Roman"/>
          <w:sz w:val="24"/>
          <w:szCs w:val="24"/>
        </w:rPr>
        <w:t>CoC</w:t>
      </w:r>
      <w:proofErr w:type="spellEnd"/>
      <w:r w:rsidR="00F1163F">
        <w:rPr>
          <w:rFonts w:cs="Times New Roman"/>
          <w:sz w:val="24"/>
          <w:szCs w:val="24"/>
        </w:rPr>
        <w:t xml:space="preserve"> (and ESG?) funded projects at least annually to the Steering Committee. They will also be responsible to respond to desktop monitoring and/or onsite monitoring requests as appropriate. A grantee will also be responsible to respond to corrective actions.</w:t>
      </w:r>
    </w:p>
    <w:p w:rsidR="000E694C" w:rsidRPr="00625F8A" w:rsidRDefault="000E694C" w:rsidP="000E694C">
      <w:pPr>
        <w:contextualSpacing/>
        <w:rPr>
          <w:rFonts w:cs="Times New Roman"/>
          <w:b/>
          <w:sz w:val="24"/>
          <w:szCs w:val="24"/>
        </w:rPr>
      </w:pPr>
    </w:p>
    <w:p w:rsidR="00EE2546" w:rsidRDefault="000E694C" w:rsidP="000E694C">
      <w:pPr>
        <w:contextualSpacing/>
        <w:rPr>
          <w:rFonts w:cs="Times New Roman"/>
          <w:sz w:val="24"/>
          <w:szCs w:val="24"/>
        </w:rPr>
      </w:pPr>
      <w:r w:rsidRPr="00625F8A">
        <w:rPr>
          <w:rFonts w:cs="Times New Roman"/>
          <w:b/>
          <w:sz w:val="24"/>
          <w:szCs w:val="24"/>
        </w:rPr>
        <w:t>Tools Used in Monitoring:</w:t>
      </w:r>
      <w:r w:rsidR="006B1E45" w:rsidRPr="00625F8A">
        <w:rPr>
          <w:rFonts w:cs="Times New Roman"/>
          <w:sz w:val="24"/>
          <w:szCs w:val="24"/>
        </w:rPr>
        <w:t xml:space="preserve">     </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The following tools will be utilized for the various types of monitoring visits in this policy. Each tool will be provided to the grantee.</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Desktop monitoring checklist</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On-site monitoring checklist</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On-site monitoring tool</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System-level performance monitoring</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System-level annual report card</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Coordinated Entry System Monitoring</w:t>
      </w:r>
    </w:p>
    <w:p w:rsidR="00EE2546" w:rsidRDefault="00EE2546" w:rsidP="000E694C">
      <w:pPr>
        <w:contextualSpacing/>
        <w:rPr>
          <w:rFonts w:cs="Times New Roman"/>
          <w:sz w:val="24"/>
          <w:szCs w:val="24"/>
        </w:rPr>
      </w:pPr>
    </w:p>
    <w:p w:rsidR="00EE2546" w:rsidRDefault="00EE2546" w:rsidP="000E694C">
      <w:pPr>
        <w:contextualSpacing/>
        <w:rPr>
          <w:rFonts w:cs="Times New Roman"/>
          <w:sz w:val="24"/>
          <w:szCs w:val="24"/>
        </w:rPr>
      </w:pPr>
      <w:r>
        <w:rPr>
          <w:rFonts w:cs="Times New Roman"/>
          <w:sz w:val="24"/>
          <w:szCs w:val="24"/>
        </w:rPr>
        <w:t>The Steering Committee will review and approve of these tools before implementation</w:t>
      </w:r>
      <w:r w:rsidR="00E50203">
        <w:rPr>
          <w:rFonts w:cs="Times New Roman"/>
          <w:sz w:val="24"/>
          <w:szCs w:val="24"/>
        </w:rPr>
        <w:t>.</w:t>
      </w:r>
    </w:p>
    <w:p w:rsidR="006B1E45" w:rsidRPr="00625F8A" w:rsidRDefault="006B1E45" w:rsidP="000E694C">
      <w:pPr>
        <w:contextualSpacing/>
        <w:rPr>
          <w:rFonts w:cs="Times New Roman"/>
          <w:sz w:val="24"/>
          <w:szCs w:val="24"/>
        </w:rPr>
      </w:pPr>
      <w:r w:rsidRPr="00625F8A">
        <w:rPr>
          <w:rFonts w:cs="Times New Roman"/>
          <w:sz w:val="24"/>
          <w:szCs w:val="24"/>
        </w:rPr>
        <w:t xml:space="preserve">                                                            </w:t>
      </w:r>
    </w:p>
    <w:p w:rsidR="00815403" w:rsidRPr="00625F8A" w:rsidRDefault="00815403" w:rsidP="00815403">
      <w:pPr>
        <w:rPr>
          <w:rFonts w:cs="Times New Roman"/>
          <w:sz w:val="24"/>
          <w:szCs w:val="24"/>
        </w:rPr>
      </w:pPr>
      <w:bookmarkStart w:id="0" w:name="_GoBack"/>
      <w:bookmarkEnd w:id="0"/>
    </w:p>
    <w:sectPr w:rsidR="00815403" w:rsidRPr="00625F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52C" w:rsidRDefault="0091252C" w:rsidP="000B1D2D">
      <w:pPr>
        <w:spacing w:after="0" w:line="240" w:lineRule="auto"/>
      </w:pPr>
      <w:r>
        <w:separator/>
      </w:r>
    </w:p>
  </w:endnote>
  <w:endnote w:type="continuationSeparator" w:id="0">
    <w:p w:rsidR="0091252C" w:rsidRDefault="0091252C" w:rsidP="000B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3" w:rsidRDefault="00B06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3" w:rsidRDefault="00B06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3" w:rsidRDefault="00B0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52C" w:rsidRDefault="0091252C" w:rsidP="000B1D2D">
      <w:pPr>
        <w:spacing w:after="0" w:line="240" w:lineRule="auto"/>
      </w:pPr>
      <w:r>
        <w:separator/>
      </w:r>
    </w:p>
  </w:footnote>
  <w:footnote w:type="continuationSeparator" w:id="0">
    <w:p w:rsidR="0091252C" w:rsidRDefault="0091252C" w:rsidP="000B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3" w:rsidRDefault="00B0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20922"/>
      <w:docPartObj>
        <w:docPartGallery w:val="Watermarks"/>
        <w:docPartUnique/>
      </w:docPartObj>
    </w:sdtPr>
    <w:sdtEndPr/>
    <w:sdtContent>
      <w:p w:rsidR="00B06343" w:rsidRDefault="009125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343" w:rsidRDefault="00B0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6A5E7C"/>
    <w:lvl w:ilvl="0">
      <w:numFmt w:val="bullet"/>
      <w:lvlText w:val="*"/>
      <w:lvlJc w:val="left"/>
    </w:lvl>
  </w:abstractNum>
  <w:abstractNum w:abstractNumId="1" w15:restartNumberingAfterBreak="0">
    <w:nsid w:val="037012A2"/>
    <w:multiLevelType w:val="hybridMultilevel"/>
    <w:tmpl w:val="E20C6C4E"/>
    <w:lvl w:ilvl="0" w:tplc="A5CE4B20">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80E01"/>
    <w:multiLevelType w:val="hybridMultilevel"/>
    <w:tmpl w:val="E02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34D09"/>
    <w:multiLevelType w:val="hybridMultilevel"/>
    <w:tmpl w:val="558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86277"/>
    <w:multiLevelType w:val="hybridMultilevel"/>
    <w:tmpl w:val="0F883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5F4400"/>
    <w:multiLevelType w:val="hybridMultilevel"/>
    <w:tmpl w:val="73F4C7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A9072A4"/>
    <w:multiLevelType w:val="hybridMultilevel"/>
    <w:tmpl w:val="8C3450E8"/>
    <w:lvl w:ilvl="0" w:tplc="A5CE4B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573C3"/>
    <w:multiLevelType w:val="hybridMultilevel"/>
    <w:tmpl w:val="9CE0E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6955D4"/>
    <w:multiLevelType w:val="hybridMultilevel"/>
    <w:tmpl w:val="DF8A5322"/>
    <w:lvl w:ilvl="0" w:tplc="A5CE4B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8"/>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A8"/>
    <w:rsid w:val="00006FAE"/>
    <w:rsid w:val="00031301"/>
    <w:rsid w:val="00036492"/>
    <w:rsid w:val="000548B3"/>
    <w:rsid w:val="00075570"/>
    <w:rsid w:val="0007740D"/>
    <w:rsid w:val="000836FA"/>
    <w:rsid w:val="00086ED0"/>
    <w:rsid w:val="000961DF"/>
    <w:rsid w:val="000B1D2D"/>
    <w:rsid w:val="000D008E"/>
    <w:rsid w:val="000D2072"/>
    <w:rsid w:val="000E2D0C"/>
    <w:rsid w:val="000E694C"/>
    <w:rsid w:val="000E75BA"/>
    <w:rsid w:val="001264FC"/>
    <w:rsid w:val="00136CBE"/>
    <w:rsid w:val="00141A1F"/>
    <w:rsid w:val="00143781"/>
    <w:rsid w:val="00146954"/>
    <w:rsid w:val="00194D9D"/>
    <w:rsid w:val="0019582A"/>
    <w:rsid w:val="001B4413"/>
    <w:rsid w:val="001C0C9A"/>
    <w:rsid w:val="001C3DFA"/>
    <w:rsid w:val="001C784B"/>
    <w:rsid w:val="00202645"/>
    <w:rsid w:val="00210C78"/>
    <w:rsid w:val="00221A5E"/>
    <w:rsid w:val="0022259A"/>
    <w:rsid w:val="00233524"/>
    <w:rsid w:val="002522F1"/>
    <w:rsid w:val="00272D8B"/>
    <w:rsid w:val="0028272B"/>
    <w:rsid w:val="002866DA"/>
    <w:rsid w:val="00294796"/>
    <w:rsid w:val="002A79A8"/>
    <w:rsid w:val="002B7F4A"/>
    <w:rsid w:val="002D053D"/>
    <w:rsid w:val="00303156"/>
    <w:rsid w:val="00316D4B"/>
    <w:rsid w:val="0033772E"/>
    <w:rsid w:val="003560D9"/>
    <w:rsid w:val="003574BF"/>
    <w:rsid w:val="00362A59"/>
    <w:rsid w:val="00375D14"/>
    <w:rsid w:val="003A4908"/>
    <w:rsid w:val="003B7479"/>
    <w:rsid w:val="003C0BFB"/>
    <w:rsid w:val="003F7D32"/>
    <w:rsid w:val="00406C76"/>
    <w:rsid w:val="00426D1A"/>
    <w:rsid w:val="00431102"/>
    <w:rsid w:val="0045403A"/>
    <w:rsid w:val="00456CFC"/>
    <w:rsid w:val="00461C89"/>
    <w:rsid w:val="00493351"/>
    <w:rsid w:val="004A4882"/>
    <w:rsid w:val="004A4AB9"/>
    <w:rsid w:val="004B7EB6"/>
    <w:rsid w:val="004D6575"/>
    <w:rsid w:val="004E51B8"/>
    <w:rsid w:val="004F7E73"/>
    <w:rsid w:val="00500DB7"/>
    <w:rsid w:val="005214B5"/>
    <w:rsid w:val="005333FF"/>
    <w:rsid w:val="00541593"/>
    <w:rsid w:val="00552085"/>
    <w:rsid w:val="00563C44"/>
    <w:rsid w:val="00567306"/>
    <w:rsid w:val="005A2CED"/>
    <w:rsid w:val="005B61B8"/>
    <w:rsid w:val="005C0E77"/>
    <w:rsid w:val="005C3A3A"/>
    <w:rsid w:val="005D067A"/>
    <w:rsid w:val="005E1D7A"/>
    <w:rsid w:val="005F2D25"/>
    <w:rsid w:val="00604D22"/>
    <w:rsid w:val="00625F8A"/>
    <w:rsid w:val="00631D53"/>
    <w:rsid w:val="00652DF8"/>
    <w:rsid w:val="006532E9"/>
    <w:rsid w:val="00690CEB"/>
    <w:rsid w:val="006B1E45"/>
    <w:rsid w:val="006B481D"/>
    <w:rsid w:val="006B786C"/>
    <w:rsid w:val="006D0444"/>
    <w:rsid w:val="006D0510"/>
    <w:rsid w:val="006E3245"/>
    <w:rsid w:val="00714BD5"/>
    <w:rsid w:val="007156AC"/>
    <w:rsid w:val="00727A3B"/>
    <w:rsid w:val="00746646"/>
    <w:rsid w:val="00757F89"/>
    <w:rsid w:val="00777E35"/>
    <w:rsid w:val="00781767"/>
    <w:rsid w:val="00781C62"/>
    <w:rsid w:val="00783DCB"/>
    <w:rsid w:val="0078790E"/>
    <w:rsid w:val="00796CE6"/>
    <w:rsid w:val="007B0110"/>
    <w:rsid w:val="007C7115"/>
    <w:rsid w:val="007D6932"/>
    <w:rsid w:val="007F2F7F"/>
    <w:rsid w:val="007F3E3B"/>
    <w:rsid w:val="007F4B3A"/>
    <w:rsid w:val="0080211A"/>
    <w:rsid w:val="008034BC"/>
    <w:rsid w:val="00810B7A"/>
    <w:rsid w:val="00814791"/>
    <w:rsid w:val="00815403"/>
    <w:rsid w:val="0082078E"/>
    <w:rsid w:val="00850F81"/>
    <w:rsid w:val="008517E6"/>
    <w:rsid w:val="00853F0E"/>
    <w:rsid w:val="00862CC3"/>
    <w:rsid w:val="0088123E"/>
    <w:rsid w:val="0088195B"/>
    <w:rsid w:val="0089736B"/>
    <w:rsid w:val="008B53DE"/>
    <w:rsid w:val="008C3575"/>
    <w:rsid w:val="008F1FC9"/>
    <w:rsid w:val="008F6467"/>
    <w:rsid w:val="0091252C"/>
    <w:rsid w:val="0091458C"/>
    <w:rsid w:val="00926E9A"/>
    <w:rsid w:val="00930E10"/>
    <w:rsid w:val="0094268A"/>
    <w:rsid w:val="00980B7A"/>
    <w:rsid w:val="0098351A"/>
    <w:rsid w:val="00992AD5"/>
    <w:rsid w:val="00997152"/>
    <w:rsid w:val="009B1D0A"/>
    <w:rsid w:val="009C59C6"/>
    <w:rsid w:val="009E3136"/>
    <w:rsid w:val="009F3EDF"/>
    <w:rsid w:val="009F4B51"/>
    <w:rsid w:val="00A04593"/>
    <w:rsid w:val="00A11614"/>
    <w:rsid w:val="00A12300"/>
    <w:rsid w:val="00A549F7"/>
    <w:rsid w:val="00A65C77"/>
    <w:rsid w:val="00A65DBA"/>
    <w:rsid w:val="00A716D1"/>
    <w:rsid w:val="00A91DC0"/>
    <w:rsid w:val="00A92B90"/>
    <w:rsid w:val="00AA3D81"/>
    <w:rsid w:val="00AC5C0B"/>
    <w:rsid w:val="00AE313D"/>
    <w:rsid w:val="00AE32BB"/>
    <w:rsid w:val="00B06343"/>
    <w:rsid w:val="00B07975"/>
    <w:rsid w:val="00B2432D"/>
    <w:rsid w:val="00B45CB7"/>
    <w:rsid w:val="00B46974"/>
    <w:rsid w:val="00B53FFA"/>
    <w:rsid w:val="00B5422B"/>
    <w:rsid w:val="00B9362C"/>
    <w:rsid w:val="00B94144"/>
    <w:rsid w:val="00BA1151"/>
    <w:rsid w:val="00BA2B34"/>
    <w:rsid w:val="00BA5567"/>
    <w:rsid w:val="00BC1516"/>
    <w:rsid w:val="00C11B1E"/>
    <w:rsid w:val="00C3151E"/>
    <w:rsid w:val="00C33FAC"/>
    <w:rsid w:val="00C344E3"/>
    <w:rsid w:val="00C56D45"/>
    <w:rsid w:val="00C61A8F"/>
    <w:rsid w:val="00C623CF"/>
    <w:rsid w:val="00C64D5B"/>
    <w:rsid w:val="00C93BE6"/>
    <w:rsid w:val="00CA2081"/>
    <w:rsid w:val="00CA5706"/>
    <w:rsid w:val="00CB48F3"/>
    <w:rsid w:val="00D03897"/>
    <w:rsid w:val="00D131CB"/>
    <w:rsid w:val="00D322DD"/>
    <w:rsid w:val="00D34959"/>
    <w:rsid w:val="00D7079C"/>
    <w:rsid w:val="00D726C5"/>
    <w:rsid w:val="00DB2AA5"/>
    <w:rsid w:val="00E348E4"/>
    <w:rsid w:val="00E4235B"/>
    <w:rsid w:val="00E50203"/>
    <w:rsid w:val="00E93D68"/>
    <w:rsid w:val="00E95DC0"/>
    <w:rsid w:val="00EC5BC8"/>
    <w:rsid w:val="00ED61BE"/>
    <w:rsid w:val="00EE2546"/>
    <w:rsid w:val="00F02F58"/>
    <w:rsid w:val="00F03905"/>
    <w:rsid w:val="00F10E25"/>
    <w:rsid w:val="00F1163F"/>
    <w:rsid w:val="00F47823"/>
    <w:rsid w:val="00F763E6"/>
    <w:rsid w:val="00F876F8"/>
    <w:rsid w:val="00FB30E9"/>
    <w:rsid w:val="00FB3F61"/>
    <w:rsid w:val="00FB7CE1"/>
    <w:rsid w:val="00FD7FF3"/>
    <w:rsid w:val="00FF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B3DF85"/>
  <w15:chartTrackingRefBased/>
  <w15:docId w15:val="{4C60C225-143A-46A2-AAAF-E3095813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03"/>
    <w:pPr>
      <w:spacing w:after="200" w:line="276" w:lineRule="auto"/>
      <w:ind w:left="720"/>
      <w:contextualSpacing/>
    </w:pPr>
  </w:style>
  <w:style w:type="paragraph" w:styleId="Header">
    <w:name w:val="header"/>
    <w:basedOn w:val="Normal"/>
    <w:link w:val="HeaderChar"/>
    <w:uiPriority w:val="99"/>
    <w:unhideWhenUsed/>
    <w:rsid w:val="000B1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2D"/>
  </w:style>
  <w:style w:type="paragraph" w:styleId="Footer">
    <w:name w:val="footer"/>
    <w:basedOn w:val="Normal"/>
    <w:link w:val="FooterChar"/>
    <w:uiPriority w:val="99"/>
    <w:unhideWhenUsed/>
    <w:rsid w:val="000B1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Esbjerg</dc:creator>
  <cp:keywords/>
  <dc:description/>
  <cp:lastModifiedBy>Paddy Shea</cp:lastModifiedBy>
  <cp:revision>2</cp:revision>
  <dcterms:created xsi:type="dcterms:W3CDTF">2018-05-24T14:49:00Z</dcterms:created>
  <dcterms:modified xsi:type="dcterms:W3CDTF">2018-05-24T14:49:00Z</dcterms:modified>
</cp:coreProperties>
</file>