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67" w:rsidRPr="00803D65" w:rsidRDefault="009C0953">
      <w:pPr>
        <w:rPr>
          <w:b/>
        </w:rPr>
      </w:pPr>
      <w:bookmarkStart w:id="0" w:name="_GoBack"/>
      <w:r w:rsidRPr="00803D6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69DB" wp14:editId="510DBFD6">
                <wp:simplePos x="0" y="0"/>
                <wp:positionH relativeFrom="column">
                  <wp:posOffset>152400</wp:posOffset>
                </wp:positionH>
                <wp:positionV relativeFrom="paragraph">
                  <wp:posOffset>2209800</wp:posOffset>
                </wp:positionV>
                <wp:extent cx="6035675" cy="661987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661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ahoma" w:hAnsi="Calibri" w:cs="Tahoma"/>
                                <w:b/>
                                <w:bCs/>
                                <w:color w:val="7339C1"/>
                                <w:kern w:val="24"/>
                                <w:sz w:val="36"/>
                                <w:szCs w:val="36"/>
                              </w:rPr>
                              <w:t xml:space="preserve">What is the Point in Time Count? </w:t>
                            </w:r>
                          </w:p>
                          <w:p w:rsidR="002C1439" w:rsidRDefault="0040088A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 annual, one-night count and </w:t>
                            </w:r>
                            <w:r w:rsidR="002C1439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survey of </w:t>
                            </w: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those experiencing</w:t>
                            </w:r>
                            <w:r w:rsidR="002C1439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homelessness to better understand and plan for their needs. This is a statewide effort, organized by each local Continuum of Care, to count every single individual.</w:t>
                            </w: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ahoma" w:hAnsi="Calibri" w:cs="Tahoma"/>
                                <w:b/>
                                <w:bCs/>
                                <w:color w:val="7339C1"/>
                                <w:kern w:val="24"/>
                                <w:sz w:val="36"/>
                                <w:szCs w:val="36"/>
                              </w:rPr>
                              <w:t xml:space="preserve">Who is counted? </w:t>
                            </w: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People who are “literally homeless” under HUD’s definition. This means families staying in an emergency shelter</w:t>
                            </w:r>
                            <w:r w:rsid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or outdoors (e.g. car, tent, on the street). </w:t>
                            </w:r>
                            <w:r w:rsid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Note that t</w:t>
                            </w:r>
                            <w:r w:rsidR="009C0953" w:rsidRP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 McKinney Vento definition of homelessness is </w:t>
                            </w:r>
                            <w:proofErr w:type="gramStart"/>
                            <w:r w:rsidR="009C0953" w:rsidRP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more broad</w:t>
                            </w:r>
                            <w:proofErr w:type="gramEnd"/>
                            <w:r w:rsidR="009C0953" w:rsidRP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than the HUD definition of “literally homeless,” so that some students who qualify as homeless under McKinney Vento should be counted</w:t>
                            </w:r>
                            <w:r w:rsid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 the PIT Count</w:t>
                            </w:r>
                            <w:r w:rsidR="009C0953" w:rsidRP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9C0953" w:rsidRP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but </w:t>
                            </w:r>
                            <w:r w:rsidR="009C0953" w:rsidRPr="009C0953">
                              <w:rPr>
                                <w:rFonts w:asciiTheme="minorHAnsi" w:eastAsia="Tahoma" w:hAnsi="Calibri" w:cs="Tahoma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some (the ones who are doubled up, couch surfing, or at risk of homelessness) do </w:t>
                            </w:r>
                            <w:r w:rsidR="009C0953" w:rsidRPr="009C0953">
                              <w:rPr>
                                <w:rFonts w:asciiTheme="minorHAnsi" w:eastAsia="Tahoma" w:hAnsi="Calibri" w:cs="Tahoma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="009C0953" w:rsidRPr="009C0953">
                              <w:rPr>
                                <w:rFonts w:asciiTheme="minorHAnsi" w:eastAsia="Tahoma" w:hAnsi="Calibri" w:cs="Tahoma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qualify as homeless for the purposes of this survey</w:t>
                            </w:r>
                            <w:r w:rsidR="009C0953" w:rsidRP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9C0953" w:rsidRDefault="009C0953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local Economic Services office will survey families &amp; individuals staying in a motel p</w:t>
                            </w:r>
                            <w:r w:rsidR="009C095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aid for</w:t>
                            </w: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by a state voucher; shelter staff will survey those staying in emergency shelters.</w:t>
                            </w: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ahoma" w:hAnsi="Calibri" w:cs="Tahoma"/>
                                <w:b/>
                                <w:bCs/>
                                <w:color w:val="7339C1"/>
                                <w:kern w:val="24"/>
                                <w:sz w:val="44"/>
                                <w:szCs w:val="44"/>
                              </w:rPr>
                              <w:t>How can Homeless Liaisons Help?</w:t>
                            </w:r>
                          </w:p>
                          <w:p w:rsidR="0040088A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Encourage individuals &amp; families who are staying outdoors (</w:t>
                            </w:r>
                            <w:r w:rsidR="0040088A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e.g. car, tent</w:t>
                            </w: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) </w:t>
                            </w:r>
                          </w:p>
                          <w:p w:rsidR="0040088A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to call 2-1-1 to complete a survey the night of January 31</w:t>
                            </w:r>
                            <w:r w:rsidR="00667ED9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, 2018</w:t>
                            </w: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or </w:t>
                            </w:r>
                            <w:r w:rsidR="0040088A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during the day of</w:t>
                            </w: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February 1</w:t>
                            </w:r>
                            <w:r w:rsidR="00667ED9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, 2018</w:t>
                            </w: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8E08C5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Email </w:t>
                            </w:r>
                            <w:r w:rsidR="008E08C5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Chittenden County</w:t>
                            </w: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coordinator at </w:t>
                            </w:r>
                            <w:hyperlink r:id="rId4" w:history="1">
                              <w:r w:rsidR="008E08C5" w:rsidRPr="008E0F87">
                                <w:rPr>
                                  <w:rStyle w:val="Hyperlink"/>
                                  <w:rFonts w:asciiTheme="minorHAnsi" w:eastAsia="Tahoma" w:hAnsi="Calibri" w:cs="Tahoma"/>
                                  <w:kern w:val="24"/>
                                  <w:sz w:val="30"/>
                                  <w:szCs w:val="30"/>
                                </w:rPr>
                                <w:t>pshea@vhfa.org</w:t>
                              </w:r>
                            </w:hyperlink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055D13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you have any questions</w:t>
                            </w: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C0953" w:rsidRDefault="009C0953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C1439" w:rsidRP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Additional Resources: </w:t>
                            </w:r>
                            <w:hyperlink r:id="rId5" w:history="1">
                              <w:r w:rsidRPr="002C1439">
                                <w:rPr>
                                  <w:rStyle w:val="Hyperlink"/>
                                  <w:rFonts w:asciiTheme="minorHAnsi" w:eastAsia="Tahoma" w:hAnsi="Calibri" w:cs="Tahoma"/>
                                  <w:kern w:val="24"/>
                                  <w:sz w:val="22"/>
                                  <w:szCs w:val="22"/>
                                </w:rPr>
                                <w:t>2017 Point in Time Count Report</w:t>
                              </w:r>
                            </w:hyperlink>
                            <w:r w:rsidRPr="002C1439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C1439" w:rsidRPr="002C1439" w:rsidRDefault="009C0953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2C1439" w:rsidRPr="002C1439">
                                <w:rPr>
                                  <w:rStyle w:val="Hyperlink"/>
                                  <w:rFonts w:asciiTheme="minorHAnsi" w:eastAsia="Tahoma" w:hAnsi="Calibri" w:cs="Tahoma"/>
                                  <w:kern w:val="24"/>
                                  <w:sz w:val="22"/>
                                  <w:szCs w:val="22"/>
                                </w:rPr>
                                <w:t>National Center for Homeless Education’s publication</w:t>
                              </w:r>
                            </w:hyperlink>
                            <w:r w:rsidR="002C1439" w:rsidRPr="002C1439">
                              <w:rPr>
                                <w:rFonts w:asciiTheme="minorHAnsi" w:eastAsia="Tahoma" w:hAnsi="Calibri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on Point in Time Count collaboration.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469D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2pt;margin-top:174pt;width:475.25pt;height:5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" filled="f" stroked="f">
                <v:textbox>
                  <w:txbxContent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ahoma" w:hAnsi="Calibri" w:cs="Tahoma"/>
                          <w:b/>
                          <w:bCs/>
                          <w:color w:val="7339C1"/>
                          <w:kern w:val="24"/>
                          <w:sz w:val="36"/>
                          <w:szCs w:val="36"/>
                        </w:rPr>
                        <w:t xml:space="preserve">What is the Point in Time Count? </w:t>
                      </w:r>
                    </w:p>
                    <w:p w:rsidR="002C1439" w:rsidRDefault="0040088A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 annual, one-night count and </w:t>
                      </w:r>
                      <w:r w:rsidR="002C1439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survey of </w:t>
                      </w: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those experiencing</w:t>
                      </w:r>
                      <w:r w:rsidR="002C1439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homelessness to better understand and plan for their needs. This is a statewide effort, organized by each local Continuum of Care, to count every single individual.</w:t>
                      </w: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ahoma" w:hAnsi="Calibri" w:cs="Tahoma"/>
                          <w:b/>
                          <w:bCs/>
                          <w:color w:val="7339C1"/>
                          <w:kern w:val="24"/>
                          <w:sz w:val="36"/>
                          <w:szCs w:val="36"/>
                        </w:rPr>
                        <w:t xml:space="preserve">Who is counted? </w:t>
                      </w: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People who are “literally homeless” under HUD’s definition. This means families staying in an emergency shelter</w:t>
                      </w:r>
                      <w:r w:rsid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or outdoors (e.g. car, tent, on the street). </w:t>
                      </w:r>
                      <w:r w:rsid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Note that t</w:t>
                      </w:r>
                      <w:r w:rsidR="009C0953" w:rsidRP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 McKinney Vento definition of homelessness is </w:t>
                      </w:r>
                      <w:proofErr w:type="gramStart"/>
                      <w:r w:rsidR="009C0953" w:rsidRP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more broad</w:t>
                      </w:r>
                      <w:proofErr w:type="gramEnd"/>
                      <w:r w:rsidR="009C0953" w:rsidRP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than the HUD definition of “literally homeless,” so that some students who qualify as homeless under McKinney Vento should be counted</w:t>
                      </w:r>
                      <w:r w:rsid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 the PIT Count</w:t>
                      </w:r>
                      <w:r w:rsidR="009C0953" w:rsidRP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9C0953" w:rsidRP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but </w:t>
                      </w:r>
                      <w:r w:rsidR="009C0953" w:rsidRPr="009C0953">
                        <w:rPr>
                          <w:rFonts w:asciiTheme="minorHAnsi" w:eastAsia="Tahoma" w:hAnsi="Calibri" w:cs="Tahoma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some (the ones who are doubled up, couch surfing, or at risk of homelessness) do </w:t>
                      </w:r>
                      <w:r w:rsidR="009C0953" w:rsidRPr="009C0953">
                        <w:rPr>
                          <w:rFonts w:asciiTheme="minorHAnsi" w:eastAsia="Tahoma" w:hAnsi="Calibri" w:cs="Tahoma"/>
                          <w:i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not</w:t>
                      </w:r>
                      <w:r w:rsidR="009C0953" w:rsidRPr="009C0953">
                        <w:rPr>
                          <w:rFonts w:asciiTheme="minorHAnsi" w:eastAsia="Tahoma" w:hAnsi="Calibri" w:cs="Tahoma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qualify as homeless for the purposes of this survey</w:t>
                      </w:r>
                      <w:r w:rsidR="009C0953" w:rsidRP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9C0953" w:rsidRDefault="009C0953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local Economic Services office will survey families &amp; individuals staying in a motel p</w:t>
                      </w:r>
                      <w:r w:rsidR="009C095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aid for</w:t>
                      </w: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by a state voucher; shelter staff will survey those staying in emergency shelters.</w:t>
                      </w: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ahoma" w:hAnsi="Calibri" w:cs="Tahoma"/>
                          <w:b/>
                          <w:bCs/>
                          <w:color w:val="7339C1"/>
                          <w:kern w:val="24"/>
                          <w:sz w:val="44"/>
                          <w:szCs w:val="44"/>
                        </w:rPr>
                        <w:t>How can Homeless Liaisons Help?</w:t>
                      </w:r>
                    </w:p>
                    <w:p w:rsidR="0040088A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Encourage individuals &amp; families who are staying outdoors (</w:t>
                      </w:r>
                      <w:r w:rsidR="0040088A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e.g. car, tent</w:t>
                      </w: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) </w:t>
                      </w:r>
                    </w:p>
                    <w:p w:rsidR="0040088A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to call 2-1-1 to complete a survey the night of January 31</w:t>
                      </w:r>
                      <w:r w:rsidR="00667ED9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, 2018</w:t>
                      </w: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or </w:t>
                      </w:r>
                      <w:r w:rsidR="0040088A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during the day of</w:t>
                      </w: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February 1</w:t>
                      </w:r>
                      <w:r w:rsidR="00667ED9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, 2018</w:t>
                      </w: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8E08C5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Email </w:t>
                      </w:r>
                      <w:r w:rsidR="008E08C5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Chittenden County</w:t>
                      </w: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coordinator at </w:t>
                      </w:r>
                      <w:hyperlink r:id="rId7" w:history="1">
                        <w:r w:rsidR="008E08C5" w:rsidRPr="008E0F87">
                          <w:rPr>
                            <w:rStyle w:val="Hyperlink"/>
                            <w:rFonts w:asciiTheme="minorHAnsi" w:eastAsia="Tahoma" w:hAnsi="Calibri" w:cs="Tahoma"/>
                            <w:kern w:val="24"/>
                            <w:sz w:val="30"/>
                            <w:szCs w:val="30"/>
                          </w:rPr>
                          <w:t>pshea@vhfa.org</w:t>
                        </w:r>
                      </w:hyperlink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if </w:t>
                      </w:r>
                      <w:r w:rsidR="00055D13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you have any questions</w:t>
                      </w: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9C0953" w:rsidRDefault="009C0953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2C1439" w:rsidRP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Additional Resources: </w:t>
                      </w:r>
                      <w:hyperlink r:id="rId8" w:history="1">
                        <w:r w:rsidRPr="002C1439">
                          <w:rPr>
                            <w:rStyle w:val="Hyperlink"/>
                            <w:rFonts w:asciiTheme="minorHAnsi" w:eastAsia="Tahoma" w:hAnsi="Calibri" w:cs="Tahoma"/>
                            <w:kern w:val="24"/>
                            <w:sz w:val="22"/>
                            <w:szCs w:val="22"/>
                          </w:rPr>
                          <w:t>2017 Point in Time Count Report</w:t>
                        </w:r>
                      </w:hyperlink>
                      <w:r w:rsidRPr="002C1439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2C1439" w:rsidRPr="002C1439" w:rsidRDefault="009C0953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2C1439" w:rsidRPr="002C1439">
                          <w:rPr>
                            <w:rStyle w:val="Hyperlink"/>
                            <w:rFonts w:asciiTheme="minorHAnsi" w:eastAsia="Tahoma" w:hAnsi="Calibri" w:cs="Tahoma"/>
                            <w:kern w:val="24"/>
                            <w:sz w:val="22"/>
                            <w:szCs w:val="22"/>
                          </w:rPr>
                          <w:t>National Center for Homeless Education’s publication</w:t>
                        </w:r>
                      </w:hyperlink>
                      <w:r w:rsidR="002C1439" w:rsidRPr="002C1439">
                        <w:rPr>
                          <w:rFonts w:asciiTheme="minorHAnsi" w:eastAsia="Tahoma" w:hAnsi="Calibri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on Point in Time Count collaboration.</w:t>
                      </w:r>
                    </w:p>
                  </w:txbxContent>
                </v:textbox>
              </v:shape>
            </w:pict>
          </mc:Fallback>
        </mc:AlternateContent>
      </w:r>
      <w:r w:rsidRPr="00803D6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3D9111F" wp14:editId="6FAA67E6">
            <wp:simplePos x="0" y="0"/>
            <wp:positionH relativeFrom="margin">
              <wp:align>right</wp:align>
            </wp:positionH>
            <wp:positionV relativeFrom="paragraph">
              <wp:posOffset>543560</wp:posOffset>
            </wp:positionV>
            <wp:extent cx="5943600" cy="1644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D6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617A3" wp14:editId="24557D1E">
                <wp:simplePos x="0" y="0"/>
                <wp:positionH relativeFrom="column">
                  <wp:posOffset>69850</wp:posOffset>
                </wp:positionH>
                <wp:positionV relativeFrom="paragraph">
                  <wp:posOffset>654050</wp:posOffset>
                </wp:positionV>
                <wp:extent cx="6134100" cy="63500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3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1439" w:rsidRDefault="00055D13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D3F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8"/>
                                <w:szCs w:val="58"/>
                              </w:rPr>
                              <w:t>January 31</w:t>
                            </w:r>
                            <w:r w:rsidRPr="00636F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8"/>
                                <w:szCs w:val="5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8"/>
                                <w:szCs w:val="58"/>
                              </w:rPr>
                              <w:t xml:space="preserve"> - February 1</w:t>
                            </w:r>
                            <w:r w:rsidRPr="00636F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8"/>
                                <w:szCs w:val="5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Pr="004D3F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8"/>
                                <w:szCs w:val="58"/>
                              </w:rPr>
                              <w:t>2018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617A3" id="Rectangle 19" o:spid="_x0000_s1027" style="position:absolute;margin-left:5.5pt;margin-top:51.5pt;width:483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" filled="f" stroked="f">
                <v:textbox>
                  <w:txbxContent>
                    <w:p w:rsidR="002C1439" w:rsidRDefault="00055D13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D3F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8"/>
                          <w:szCs w:val="58"/>
                        </w:rPr>
                        <w:t>January 31</w:t>
                      </w:r>
                      <w:r w:rsidRPr="00636F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8"/>
                          <w:szCs w:val="5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8"/>
                          <w:szCs w:val="58"/>
                        </w:rPr>
                        <w:t xml:space="preserve"> - February 1</w:t>
                      </w:r>
                      <w:r w:rsidRPr="00636F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8"/>
                          <w:szCs w:val="5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8"/>
                          <w:szCs w:val="58"/>
                        </w:rPr>
                        <w:t xml:space="preserve"> </w:t>
                      </w:r>
                      <w:r w:rsidRPr="004D3F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8"/>
                          <w:szCs w:val="58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  <w:r w:rsidRPr="00803D6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22E67" wp14:editId="5B695854">
                <wp:simplePos x="0" y="0"/>
                <wp:positionH relativeFrom="column">
                  <wp:posOffset>229235</wp:posOffset>
                </wp:positionH>
                <wp:positionV relativeFrom="paragraph">
                  <wp:posOffset>-504825</wp:posOffset>
                </wp:positionV>
                <wp:extent cx="5895975" cy="1080135"/>
                <wp:effectExtent l="0" t="19050" r="28575" b="24765"/>
                <wp:wrapNone/>
                <wp:docPr id="14" name="Flowchart: Manual Inp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95975" cy="1080135"/>
                        </a:xfrm>
                        <a:prstGeom prst="flowChartManualInput">
                          <a:avLst/>
                        </a:prstGeom>
                        <a:solidFill>
                          <a:srgbClr val="F893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4173CF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3" o:spid="_x0000_s1026" type="#_x0000_t118" style="position:absolute;margin-left:18.05pt;margin-top:-39.75pt;width:464.25pt;height:85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" fillcolor="#f8931f" strokecolor="#1f4d78 [1604]" strokeweight="1pt"/>
            </w:pict>
          </mc:Fallback>
        </mc:AlternateContent>
      </w:r>
      <w:r w:rsidRPr="00803D6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FE8FC" wp14:editId="7760E620">
                <wp:simplePos x="0" y="0"/>
                <wp:positionH relativeFrom="column">
                  <wp:posOffset>103505</wp:posOffset>
                </wp:positionH>
                <wp:positionV relativeFrom="paragraph">
                  <wp:posOffset>-504825</wp:posOffset>
                </wp:positionV>
                <wp:extent cx="6147435" cy="1139190"/>
                <wp:effectExtent l="0" t="19050" r="24765" b="22860"/>
                <wp:wrapNone/>
                <wp:docPr id="13" name="Flowchart: Manual Inp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1139190"/>
                        </a:xfrm>
                        <a:prstGeom prst="flowChartManualInput">
                          <a:avLst/>
                        </a:prstGeom>
                        <a:solidFill>
                          <a:srgbClr val="7339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9E7F640" id="Flowchart: Manual Input 12" o:spid="_x0000_s1026" type="#_x0000_t118" style="position:absolute;margin-left:8.15pt;margin-top:-39.75pt;width:484.05pt;height:8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" fillcolor="#7339c1" strokecolor="#1f4d78 [1604]" strokeweight="1pt"/>
            </w:pict>
          </mc:Fallback>
        </mc:AlternateContent>
      </w:r>
      <w:r w:rsidRPr="00803D6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F5C03" wp14:editId="79D9A31F">
                <wp:simplePos x="0" y="0"/>
                <wp:positionH relativeFrom="column">
                  <wp:posOffset>606425</wp:posOffset>
                </wp:positionH>
                <wp:positionV relativeFrom="paragraph">
                  <wp:posOffset>-320675</wp:posOffset>
                </wp:positionV>
                <wp:extent cx="5149215" cy="879475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215" cy="879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VERMONT’S ANNUAL POINT</w:t>
                            </w:r>
                            <w:r w:rsidR="00055D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IN</w:t>
                            </w:r>
                            <w:r w:rsidR="00055D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TIME </w:t>
                            </w:r>
                          </w:p>
                          <w:p w:rsidR="002C1439" w:rsidRDefault="002C1439" w:rsidP="002C14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COUNT OF HOMELESSNESS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F5C03" id="Rectangle 14" o:spid="_x0000_s1028" style="position:absolute;margin-left:47.75pt;margin-top:-25.25pt;width:405.45pt;height:69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" filled="f" stroked="f">
                <v:textbox>
                  <w:txbxContent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VERMONT’S ANNUAL POINT</w:t>
                      </w:r>
                      <w:r w:rsidR="00055D1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IN</w:t>
                      </w:r>
                      <w:r w:rsidR="00055D1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TIME </w:t>
                      </w:r>
                    </w:p>
                    <w:p w:rsidR="002C1439" w:rsidRDefault="002C1439" w:rsidP="002C14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COUNT OF HOMELESSNESS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732567" w:rsidRPr="0080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39"/>
    <w:rsid w:val="00055D13"/>
    <w:rsid w:val="000A4365"/>
    <w:rsid w:val="002C1439"/>
    <w:rsid w:val="0040088A"/>
    <w:rsid w:val="004E22A6"/>
    <w:rsid w:val="00667ED9"/>
    <w:rsid w:val="00803D65"/>
    <w:rsid w:val="008E08C5"/>
    <w:rsid w:val="009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4613"/>
  <w15:chartTrackingRefBased/>
  <w15:docId w15:val="{6A06B0CF-F542-4063-9627-47B0C1CF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4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4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ingtohousevt.org/wp-content/uploads/2017/11/Housing-and-School-Partnership-on-the-January-2017-Point-In-Time-Cou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hea@vhf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pingtohousevt.org/wp-content/uploads/2017/11/Housing-and-School-Partnership-on-the-January-2017-Point-In-Time-Cou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lpingtohousevt.org/wp-content/uploads/2017/11/Housing-and-School-Partnership-on-the-January-2017-Point-In-Time-Count.pdf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pshea@vhfa.org" TargetMode="External"/><Relationship Id="rId9" Type="http://schemas.openxmlformats.org/officeDocument/2006/relationships/hyperlink" Target="http://helpingtohousevt.org/wp-content/uploads/2017/11/Housing-and-School-Partnership-on-the-January-2017-Point-In-Time-Cou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Paddy Shea</cp:lastModifiedBy>
  <cp:revision>2</cp:revision>
  <dcterms:created xsi:type="dcterms:W3CDTF">2018-01-18T18:59:00Z</dcterms:created>
  <dcterms:modified xsi:type="dcterms:W3CDTF">2018-01-18T18:59:00Z</dcterms:modified>
</cp:coreProperties>
</file>